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FF0000"/>
          <w:sz w:val="11"/>
          <w:szCs w:val="11"/>
        </w:rPr>
      </w:pPr>
    </w:p>
    <w:p>
      <w:pPr>
        <w:jc w:val="center"/>
        <w:rPr>
          <w:rFonts w:ascii="宋体" w:hAnsi="宋体"/>
          <w:b/>
          <w:color w:val="FF0000"/>
          <w:sz w:val="11"/>
          <w:szCs w:val="11"/>
        </w:rPr>
      </w:pPr>
    </w:p>
    <w:p>
      <w:pPr>
        <w:jc w:val="center"/>
        <w:rPr>
          <w:rFonts w:ascii="宋体" w:hAnsi="宋体"/>
          <w:b/>
          <w:color w:val="FF0000"/>
          <w:sz w:val="36"/>
          <w:szCs w:val="36"/>
        </w:rPr>
      </w:pPr>
      <w:r>
        <w:rPr>
          <w:rFonts w:hint="eastAsia" w:ascii="宋体" w:hAnsi="宋体"/>
          <w:b/>
          <w:color w:val="FF0000"/>
          <w:sz w:val="80"/>
          <w:szCs w:val="80"/>
        </w:rPr>
        <w:t>四川省计算机学会文件</w:t>
      </w:r>
    </w:p>
    <w:p>
      <w:pPr>
        <w:rPr>
          <w:rFonts w:ascii="黑体" w:eastAsia="黑体"/>
          <w:color w:val="FF0000"/>
          <w:sz w:val="24"/>
        </w:rPr>
      </w:pPr>
    </w:p>
    <w:p>
      <w:pPr>
        <w:jc w:val="center"/>
        <w:rPr>
          <w:rFonts w:ascii="黑体" w:eastAsia="黑体"/>
          <w:color w:val="FF0000"/>
          <w:sz w:val="18"/>
          <w:szCs w:val="18"/>
        </w:rPr>
      </w:pPr>
    </w:p>
    <w:p>
      <w:pPr>
        <w:jc w:val="center"/>
        <w:rPr>
          <w:rFonts w:ascii="宋体" w:hAnsi="宋体"/>
          <w:sz w:val="30"/>
          <w:szCs w:val="30"/>
          <w:highlight w:val="yellow"/>
        </w:rPr>
      </w:pPr>
      <w:r>
        <w:rPr>
          <w:rFonts w:hint="eastAsia" w:ascii="宋体" w:hAnsi="宋体"/>
          <w:sz w:val="30"/>
          <w:szCs w:val="30"/>
        </w:rPr>
        <w:t>川计学 [2021] 第69号</w:t>
      </w:r>
    </w:p>
    <w:p>
      <w:pPr>
        <w:rPr>
          <w:rFonts w:ascii="宋体" w:hAnsi="宋体"/>
          <w:sz w:val="44"/>
          <w:szCs w:val="44"/>
        </w:rPr>
      </w:pPr>
      <w:r>
        <w:rPr>
          <w:rFonts w:hint="eastAsia" w:ascii="宋体" w:hAnsi="宋体"/>
          <w:b/>
          <w:color w:val="FFFFFF"/>
          <w:sz w:val="18"/>
          <w:szCs w:val="18"/>
          <w:u w:val="thick" w:color="FF0000"/>
        </w:rPr>
        <w:t>-------------------------------------------------------------------------------------------</w:t>
      </w:r>
    </w:p>
    <w:p>
      <w:pPr>
        <w:jc w:val="center"/>
        <w:rPr>
          <w:rFonts w:ascii="宋体" w:hAnsi="宋体"/>
          <w:b/>
          <w:sz w:val="28"/>
          <w:szCs w:val="28"/>
        </w:rPr>
      </w:pPr>
    </w:p>
    <w:p>
      <w:pPr>
        <w:jc w:val="center"/>
        <w:rPr>
          <w:rFonts w:ascii="宋体" w:hAnsi="宋体"/>
          <w:b/>
          <w:sz w:val="10"/>
          <w:szCs w:val="10"/>
        </w:rPr>
      </w:pPr>
    </w:p>
    <w:p>
      <w:pPr>
        <w:adjustRightInd w:val="0"/>
        <w:snapToGrid w:val="0"/>
        <w:spacing w:line="560" w:lineRule="exact"/>
        <w:jc w:val="center"/>
        <w:outlineLvl w:val="0"/>
        <w:rPr>
          <w:rFonts w:asciiTheme="majorEastAsia" w:hAnsiTheme="majorEastAsia" w:eastAsiaTheme="majorEastAsia"/>
          <w:b/>
          <w:bCs/>
          <w:kern w:val="44"/>
          <w:sz w:val="36"/>
          <w:szCs w:val="36"/>
          <w:lang w:val="zh-CN"/>
        </w:rPr>
      </w:pPr>
      <w:r>
        <w:rPr>
          <w:rFonts w:hint="eastAsia" w:asciiTheme="majorEastAsia" w:hAnsiTheme="majorEastAsia" w:eastAsiaTheme="majorEastAsia"/>
          <w:b/>
          <w:bCs/>
          <w:kern w:val="44"/>
          <w:sz w:val="36"/>
          <w:szCs w:val="36"/>
          <w:lang w:val="zh-CN"/>
        </w:rPr>
        <w:t>关于举办网络空间安全实践教学能力提升培训</w:t>
      </w:r>
    </w:p>
    <w:p>
      <w:pPr>
        <w:adjustRightInd w:val="0"/>
        <w:snapToGrid w:val="0"/>
        <w:spacing w:line="560" w:lineRule="exact"/>
        <w:jc w:val="center"/>
        <w:outlineLvl w:val="0"/>
        <w:rPr>
          <w:rFonts w:asciiTheme="majorEastAsia" w:hAnsiTheme="majorEastAsia" w:eastAsiaTheme="majorEastAsia"/>
          <w:b/>
          <w:bCs/>
          <w:kern w:val="44"/>
          <w:sz w:val="36"/>
          <w:szCs w:val="36"/>
          <w:lang w:val="zh-CN"/>
        </w:rPr>
      </w:pPr>
      <w:r>
        <w:rPr>
          <w:rFonts w:hint="eastAsia" w:asciiTheme="majorEastAsia" w:hAnsiTheme="majorEastAsia" w:eastAsiaTheme="majorEastAsia"/>
          <w:b/>
          <w:bCs/>
          <w:kern w:val="44"/>
          <w:sz w:val="36"/>
          <w:szCs w:val="36"/>
          <w:lang w:val="zh-CN"/>
        </w:rPr>
        <w:t>寒假班的通知</w:t>
      </w:r>
    </w:p>
    <w:p>
      <w:pPr>
        <w:adjustRightInd w:val="0"/>
        <w:snapToGrid w:val="0"/>
        <w:spacing w:line="560" w:lineRule="exact"/>
        <w:outlineLvl w:val="0"/>
        <w:rPr>
          <w:rFonts w:hint="eastAsia" w:ascii="Times New Roman" w:hAnsi="Times New Roman" w:eastAsia="方正小标宋简体"/>
          <w:bCs/>
          <w:kern w:val="44"/>
          <w:sz w:val="48"/>
          <w:szCs w:val="48"/>
          <w:lang w:val="zh-CN"/>
        </w:rPr>
      </w:pPr>
    </w:p>
    <w:p>
      <w:pPr>
        <w:spacing w:line="540" w:lineRule="exact"/>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各单位、各高校：</w:t>
      </w:r>
    </w:p>
    <w:p>
      <w:pPr>
        <w:spacing w:line="540" w:lineRule="exact"/>
        <w:ind w:firstLine="560" w:firstLineChars="200"/>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没有网络安全，就没有国家安全！网络空间安全已上升为国家战略。网络空间的竞争，归根结底是人才的竞争！2015年，教育部增设“网络空间安全”一级学科，人社部增设“网络与信息安全管理员”职业，陆续增设“信息安全测试员(4-04-04-04) ”、“电子数据取证分析师（4-04-05-08）”、“密码技术应用员（4-07-05-06）”。目前，国内高校现有的实践教学体系与社会用人需求仍存在较大偏差，亟需培养具备讲授网络空间安全实践课程体系中专业核心课程能力的教师，同时具备独立设计实践课程内容、独立搭建实验环境、独立完成实验指导、独立进行实验课程考核、独立组织课堂教学的能力。</w:t>
      </w:r>
    </w:p>
    <w:p>
      <w:pPr>
        <w:spacing w:line="540" w:lineRule="exact"/>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网络安全“朱日和”基地创新提出“演万变网域，练百战精兵”科学理念，依托核心技术，打造国内独创，映照网络空间现实的“网络沙盘”，可视化地呈现网络空间事件，全面观察、测量、分析网络沙盘中呈现的网络安全事件，开展网络空间组成、形态、安全、管理等研究和实践；再将学员投入“网络沙盘”中（学习环境=工作环境），开展技术角色（岗位）轮换（学习过程=工作过程），在实战中积累各种任务经验（学习经验=工作经验），快速建立岗位适应能力，单一任务、复合任务、综合演训三个梯度持续进阶；建立可视化、可量化的考核评估方式，鉴定网络安全人员的能力。快速、批量培养具备网络安全共性基础一专多能的人才。创新构建出“学了能练、练了能验、验了能战”的网络安全人才培养模式。在经验丰富的讲师带领下，通过课堂讲授、实践操作、主题研论等方式，循序渐进强化网络空间安全实战技能，提升实践教学能力。</w:t>
      </w:r>
    </w:p>
    <w:p>
      <w:pPr>
        <w:spacing w:line="540" w:lineRule="exact"/>
        <w:ind w:firstLine="560" w:firstLineChars="200"/>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四川省计算机学会、成都安全可靠信息技术联合会、网络安全“朱日和”基地共同组织网络空间安全实践教学能力提升培训，帮助高校教师快速提升网络空间安全实践教学环境构建、知识技术讲授、实操技能训练、教学模式优化等方面能力。已成功举办多期，四川大学、成都信息工程大学、西南石油大学、西华大学等数十所高校教师参加，并获得广泛好评。2022年1月，网络空间安全实践教学能力提升培训将继续开设寒假班，欢迎广大高校教师报名参加。</w:t>
      </w:r>
    </w:p>
    <w:p>
      <w:pPr>
        <w:spacing w:line="540" w:lineRule="exact"/>
        <w:contextualSpacing/>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一、组织机构</w:t>
      </w:r>
    </w:p>
    <w:p>
      <w:pPr>
        <w:spacing w:line="540" w:lineRule="exact"/>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主办单位：四川省计算机学会</w:t>
      </w:r>
    </w:p>
    <w:p>
      <w:pPr>
        <w:spacing w:line="540" w:lineRule="exact"/>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四川省网络空间安全协会</w:t>
      </w:r>
    </w:p>
    <w:p>
      <w:pPr>
        <w:spacing w:line="540" w:lineRule="exact"/>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成都安全可靠信息技术联合会</w:t>
      </w:r>
    </w:p>
    <w:p>
      <w:pPr>
        <w:spacing w:line="540" w:lineRule="exact"/>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承办单位：四川警察学院</w:t>
      </w:r>
    </w:p>
    <w:p>
      <w:pPr>
        <w:spacing w:line="540" w:lineRule="exact"/>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中网信安网络安全职业技能等级培训学校</w:t>
      </w:r>
    </w:p>
    <w:p>
      <w:pPr>
        <w:spacing w:line="540" w:lineRule="exact"/>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网络安全“朱日和”基地</w:t>
      </w:r>
    </w:p>
    <w:p>
      <w:pPr>
        <w:spacing w:line="540" w:lineRule="exact"/>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技术支持：中网信安科技有限公司</w:t>
      </w:r>
    </w:p>
    <w:p>
      <w:pPr>
        <w:spacing w:line="540" w:lineRule="exact"/>
        <w:ind w:firstLine="600"/>
        <w:contextualSpacing/>
        <w:rPr>
          <w:rFonts w:asciiTheme="minorEastAsia" w:hAnsiTheme="minorEastAsia" w:eastAsiaTheme="minorEastAsia"/>
          <w:b/>
          <w:sz w:val="28"/>
          <w:szCs w:val="28"/>
        </w:rPr>
      </w:pPr>
      <w:r>
        <w:rPr>
          <w:rFonts w:hint="eastAsia" w:asciiTheme="minorEastAsia" w:hAnsiTheme="minorEastAsia" w:eastAsiaTheme="minorEastAsia"/>
          <w:b/>
          <w:sz w:val="28"/>
          <w:szCs w:val="28"/>
        </w:rPr>
        <w:t>二、培训安排</w:t>
      </w:r>
    </w:p>
    <w:p>
      <w:pPr>
        <w:spacing w:line="540" w:lineRule="exact"/>
        <w:ind w:firstLine="600"/>
        <w:contextualSpacing/>
        <w:rPr>
          <w:rFonts w:asciiTheme="minorEastAsia" w:hAnsiTheme="minorEastAsia" w:eastAsiaTheme="minorEastAsia"/>
          <w:sz w:val="28"/>
          <w:szCs w:val="28"/>
        </w:rPr>
      </w:pPr>
      <w:r>
        <w:rPr>
          <w:rFonts w:asciiTheme="minorEastAsia" w:hAnsiTheme="minorEastAsia" w:eastAsiaTheme="minorEastAsia"/>
          <w:sz w:val="28"/>
          <w:szCs w:val="28"/>
        </w:rPr>
        <w:t>培训时间：</w:t>
      </w:r>
      <w:r>
        <w:rPr>
          <w:rFonts w:hint="eastAsia" w:asciiTheme="minorEastAsia" w:hAnsiTheme="minorEastAsia" w:eastAsiaTheme="minorEastAsia"/>
          <w:sz w:val="28"/>
          <w:szCs w:val="28"/>
        </w:rPr>
        <w:t>2022年1月12日—14日，共3天。</w:t>
      </w:r>
    </w:p>
    <w:p>
      <w:pPr>
        <w:spacing w:line="540" w:lineRule="exact"/>
        <w:ind w:firstLine="600"/>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培训地点：网络安全“朱日和”基地</w:t>
      </w:r>
    </w:p>
    <w:p>
      <w:pPr>
        <w:spacing w:line="540" w:lineRule="exact"/>
        <w:ind w:firstLine="600"/>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（四川省成都市武侯区西部智谷B区4栋2单元）。</w:t>
      </w:r>
    </w:p>
    <w:p>
      <w:pPr>
        <w:spacing w:line="540" w:lineRule="exact"/>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培训对象：网络空间安全及计算机相关专业教师。</w:t>
      </w:r>
    </w:p>
    <w:p>
      <w:pPr>
        <w:spacing w:line="540" w:lineRule="exact"/>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培训规模：30人/班。</w:t>
      </w:r>
      <w:r>
        <w:rPr>
          <w:rFonts w:asciiTheme="minorEastAsia" w:hAnsiTheme="minorEastAsia" w:eastAsiaTheme="minorEastAsia"/>
          <w:sz w:val="28"/>
          <w:szCs w:val="28"/>
        </w:rPr>
        <w:t xml:space="preserve"> </w:t>
      </w:r>
    </w:p>
    <w:p>
      <w:pPr>
        <w:spacing w:line="540" w:lineRule="exact"/>
        <w:contextualSpacing/>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三、课程安排</w:t>
      </w:r>
    </w:p>
    <w:tbl>
      <w:tblPr>
        <w:tblStyle w:val="5"/>
        <w:tblpPr w:leftFromText="180" w:rightFromText="180" w:vertAnchor="text" w:horzAnchor="page" w:tblpX="1906" w:tblpY="283"/>
        <w:tblOverlap w:val="never"/>
        <w:tblW w:w="48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219"/>
        <w:gridCol w:w="1561"/>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40" w:hRule="atLeast"/>
        </w:trPr>
        <w:tc>
          <w:tcPr>
            <w:tcW w:w="1702" w:type="pct"/>
            <w:gridSpan w:val="2"/>
            <w:shd w:val="clear" w:color="auto" w:fill="auto"/>
            <w:vAlign w:val="center"/>
          </w:tcPr>
          <w:p>
            <w:pPr>
              <w:adjustRightInd w:val="0"/>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时  间</w:t>
            </w:r>
          </w:p>
        </w:tc>
        <w:tc>
          <w:tcPr>
            <w:tcW w:w="3298" w:type="pct"/>
            <w:shd w:val="clear" w:color="auto" w:fill="auto"/>
            <w:vAlign w:val="center"/>
          </w:tcPr>
          <w:p>
            <w:pPr>
              <w:adjustRightInd w:val="0"/>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00" w:hRule="atLeast"/>
        </w:trPr>
        <w:tc>
          <w:tcPr>
            <w:tcW w:w="746" w:type="pct"/>
            <w:vMerge w:val="restart"/>
            <w:shd w:val="clear" w:color="auto" w:fill="auto"/>
            <w:vAlign w:val="center"/>
          </w:tcPr>
          <w:p>
            <w:pPr>
              <w:adjustRightIn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2022年</w:t>
            </w:r>
          </w:p>
          <w:p>
            <w:pPr>
              <w:adjustRightIn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1月12日</w:t>
            </w:r>
          </w:p>
        </w:tc>
        <w:tc>
          <w:tcPr>
            <w:tcW w:w="955" w:type="pct"/>
            <w:vMerge w:val="restart"/>
            <w:shd w:val="clear" w:color="auto" w:fill="auto"/>
            <w:vAlign w:val="center"/>
          </w:tcPr>
          <w:p>
            <w:pPr>
              <w:adjustRightIn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9:00-12:00</w:t>
            </w:r>
          </w:p>
        </w:tc>
        <w:tc>
          <w:tcPr>
            <w:tcW w:w="3298" w:type="pct"/>
            <w:shd w:val="clear" w:color="auto" w:fill="auto"/>
            <w:vAlign w:val="center"/>
          </w:tcPr>
          <w:p>
            <w:pPr>
              <w:adjustRightIn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开班仪式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30" w:hRule="atLeast"/>
        </w:trPr>
        <w:tc>
          <w:tcPr>
            <w:tcW w:w="746" w:type="pct"/>
            <w:vMerge w:val="continue"/>
            <w:shd w:val="clear" w:color="auto" w:fill="auto"/>
            <w:vAlign w:val="center"/>
          </w:tcPr>
          <w:p>
            <w:pPr>
              <w:adjustRightInd w:val="0"/>
              <w:spacing w:line="360" w:lineRule="auto"/>
              <w:jc w:val="center"/>
              <w:rPr>
                <w:rFonts w:asciiTheme="minorEastAsia" w:hAnsiTheme="minorEastAsia" w:eastAsiaTheme="minorEastAsia" w:cstheme="minorEastAsia"/>
                <w:sz w:val="24"/>
                <w:szCs w:val="24"/>
              </w:rPr>
            </w:pPr>
          </w:p>
        </w:tc>
        <w:tc>
          <w:tcPr>
            <w:tcW w:w="955" w:type="pct"/>
            <w:vMerge w:val="continue"/>
            <w:shd w:val="clear" w:color="auto" w:fill="auto"/>
            <w:vAlign w:val="center"/>
          </w:tcPr>
          <w:p>
            <w:pPr>
              <w:adjustRightInd w:val="0"/>
              <w:spacing w:line="360" w:lineRule="auto"/>
              <w:jc w:val="center"/>
              <w:rPr>
                <w:rFonts w:asciiTheme="minorEastAsia" w:hAnsiTheme="minorEastAsia" w:eastAsiaTheme="minorEastAsia" w:cstheme="minorEastAsia"/>
                <w:sz w:val="24"/>
                <w:szCs w:val="24"/>
              </w:rPr>
            </w:pPr>
          </w:p>
        </w:tc>
        <w:tc>
          <w:tcPr>
            <w:tcW w:w="3298" w:type="pct"/>
            <w:shd w:val="clear" w:color="auto" w:fill="auto"/>
            <w:vAlign w:val="center"/>
          </w:tcPr>
          <w:p>
            <w:pPr>
              <w:adjustRightIn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典型安全事件“Log4j2”教学研讨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370" w:hRule="atLeast"/>
        </w:trPr>
        <w:tc>
          <w:tcPr>
            <w:tcW w:w="746" w:type="pct"/>
            <w:vMerge w:val="continue"/>
            <w:shd w:val="clear" w:color="auto" w:fill="auto"/>
            <w:vAlign w:val="center"/>
          </w:tcPr>
          <w:p>
            <w:pPr>
              <w:adjustRightInd w:val="0"/>
              <w:spacing w:line="360" w:lineRule="auto"/>
              <w:jc w:val="center"/>
              <w:rPr>
                <w:rFonts w:asciiTheme="minorEastAsia" w:hAnsiTheme="minorEastAsia" w:eastAsiaTheme="minorEastAsia" w:cstheme="minorEastAsia"/>
                <w:sz w:val="24"/>
                <w:szCs w:val="24"/>
              </w:rPr>
            </w:pPr>
          </w:p>
        </w:tc>
        <w:tc>
          <w:tcPr>
            <w:tcW w:w="955" w:type="pct"/>
            <w:shd w:val="clear" w:color="auto" w:fill="auto"/>
            <w:vAlign w:val="center"/>
          </w:tcPr>
          <w:p>
            <w:pPr>
              <w:adjustRightIn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14:00-17:00</w:t>
            </w:r>
          </w:p>
        </w:tc>
        <w:tc>
          <w:tcPr>
            <w:tcW w:w="3298" w:type="pct"/>
            <w:shd w:val="clear" w:color="auto" w:fill="auto"/>
            <w:vAlign w:val="center"/>
          </w:tcPr>
          <w:p>
            <w:pPr>
              <w:adjustRightIn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典型安全事件“JumpServer信息泄露、远程代码执行”场景复现，教学实践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20" w:hRule="atLeast"/>
        </w:trPr>
        <w:tc>
          <w:tcPr>
            <w:tcW w:w="746" w:type="pct"/>
            <w:vMerge w:val="restart"/>
            <w:shd w:val="clear" w:color="auto" w:fill="auto"/>
            <w:vAlign w:val="center"/>
          </w:tcPr>
          <w:p>
            <w:pPr>
              <w:adjustRightIn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2022年</w:t>
            </w:r>
          </w:p>
          <w:p>
            <w:pPr>
              <w:adjustRightIn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1月13日</w:t>
            </w:r>
          </w:p>
        </w:tc>
        <w:tc>
          <w:tcPr>
            <w:tcW w:w="955" w:type="pct"/>
            <w:shd w:val="clear" w:color="auto" w:fill="auto"/>
            <w:vAlign w:val="center"/>
          </w:tcPr>
          <w:p>
            <w:pPr>
              <w:adjustRightIn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9:00-12:00</w:t>
            </w:r>
          </w:p>
        </w:tc>
        <w:tc>
          <w:tcPr>
            <w:tcW w:w="3298" w:type="pct"/>
            <w:shd w:val="clear" w:color="auto" w:fill="auto"/>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应急响应项目实践</w:t>
            </w:r>
          </w:p>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（教学实验环境搭建实践、windows应急响应</w:t>
            </w:r>
          </w:p>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20" w:hRule="atLeast"/>
        </w:trPr>
        <w:tc>
          <w:tcPr>
            <w:tcW w:w="746" w:type="pct"/>
            <w:vMerge w:val="continue"/>
            <w:shd w:val="clear" w:color="auto" w:fill="auto"/>
            <w:vAlign w:val="center"/>
          </w:tcPr>
          <w:p>
            <w:pPr>
              <w:adjustRightInd w:val="0"/>
              <w:spacing w:line="360" w:lineRule="auto"/>
              <w:jc w:val="center"/>
              <w:rPr>
                <w:rFonts w:asciiTheme="minorEastAsia" w:hAnsiTheme="minorEastAsia" w:eastAsiaTheme="minorEastAsia" w:cstheme="minorEastAsia"/>
                <w:sz w:val="24"/>
                <w:szCs w:val="24"/>
              </w:rPr>
            </w:pPr>
          </w:p>
        </w:tc>
        <w:tc>
          <w:tcPr>
            <w:tcW w:w="955" w:type="pct"/>
            <w:shd w:val="clear" w:color="auto" w:fill="auto"/>
            <w:vAlign w:val="center"/>
          </w:tcPr>
          <w:p>
            <w:pPr>
              <w:adjustRightIn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14:00-17:00</w:t>
            </w:r>
          </w:p>
        </w:tc>
        <w:tc>
          <w:tcPr>
            <w:tcW w:w="3298" w:type="pct"/>
            <w:shd w:val="clear" w:color="auto" w:fill="auto"/>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应急响应项目实践</w:t>
            </w:r>
          </w:p>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（Linux应急响应实践、挖矿病毒应急响应</w:t>
            </w:r>
          </w:p>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20" w:hRule="atLeast"/>
        </w:trPr>
        <w:tc>
          <w:tcPr>
            <w:tcW w:w="746" w:type="pct"/>
            <w:vMerge w:val="restart"/>
            <w:shd w:val="clear" w:color="auto" w:fill="auto"/>
            <w:vAlign w:val="center"/>
          </w:tcPr>
          <w:p>
            <w:pPr>
              <w:adjustRightIn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2022年</w:t>
            </w:r>
          </w:p>
          <w:p>
            <w:pPr>
              <w:adjustRightIn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1月14日</w:t>
            </w:r>
          </w:p>
        </w:tc>
        <w:tc>
          <w:tcPr>
            <w:tcW w:w="955" w:type="pct"/>
            <w:shd w:val="clear" w:color="auto" w:fill="auto"/>
            <w:vAlign w:val="center"/>
          </w:tcPr>
          <w:p>
            <w:pPr>
              <w:adjustRightIn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9:00-12:00</w:t>
            </w:r>
          </w:p>
        </w:tc>
        <w:tc>
          <w:tcPr>
            <w:tcW w:w="3298" w:type="pct"/>
            <w:shd w:val="clear" w:color="auto" w:fill="auto"/>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内网渗透测试技术及实践</w:t>
            </w:r>
          </w:p>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（内网域环境渗透实验环境搭建及教学研讨、</w:t>
            </w:r>
          </w:p>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Windows和Linux内网渗透实践）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20" w:hRule="atLeast"/>
        </w:trPr>
        <w:tc>
          <w:tcPr>
            <w:tcW w:w="746" w:type="pct"/>
            <w:vMerge w:val="continue"/>
            <w:shd w:val="clear" w:color="auto" w:fill="auto"/>
            <w:vAlign w:val="center"/>
          </w:tcPr>
          <w:p>
            <w:pPr>
              <w:adjustRightInd w:val="0"/>
              <w:spacing w:line="360" w:lineRule="auto"/>
              <w:jc w:val="center"/>
              <w:rPr>
                <w:rFonts w:asciiTheme="minorEastAsia" w:hAnsiTheme="minorEastAsia" w:eastAsiaTheme="minorEastAsia" w:cstheme="minorEastAsia"/>
                <w:sz w:val="24"/>
                <w:szCs w:val="24"/>
              </w:rPr>
            </w:pPr>
          </w:p>
        </w:tc>
        <w:tc>
          <w:tcPr>
            <w:tcW w:w="955" w:type="pct"/>
            <w:shd w:val="clear" w:color="auto" w:fill="auto"/>
            <w:vAlign w:val="center"/>
          </w:tcPr>
          <w:p>
            <w:pPr>
              <w:adjustRightIn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13:00-16:00</w:t>
            </w:r>
          </w:p>
        </w:tc>
        <w:tc>
          <w:tcPr>
            <w:tcW w:w="3298" w:type="pct"/>
            <w:shd w:val="clear" w:color="auto" w:fill="auto"/>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内网渗透测试技术及实践</w:t>
            </w:r>
          </w:p>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（域渗透实践、内网代理及隧道技术实践）</w:t>
            </w:r>
          </w:p>
        </w:tc>
      </w:tr>
    </w:tbl>
    <w:p>
      <w:pPr>
        <w:spacing w:line="540" w:lineRule="exact"/>
        <w:ind w:firstLine="562" w:firstLineChars="200"/>
        <w:contextualSpacing/>
        <w:rPr>
          <w:rFonts w:asciiTheme="minorEastAsia" w:hAnsiTheme="minorEastAsia" w:eastAsiaTheme="minorEastAsia"/>
          <w:b/>
          <w:sz w:val="28"/>
          <w:szCs w:val="28"/>
        </w:rPr>
      </w:pPr>
    </w:p>
    <w:p>
      <w:pPr>
        <w:spacing w:line="540" w:lineRule="exact"/>
        <w:ind w:firstLine="562" w:firstLineChars="200"/>
        <w:contextualSpacing/>
        <w:rPr>
          <w:rFonts w:hint="eastAsia" w:asciiTheme="minorEastAsia" w:hAnsiTheme="minorEastAsia" w:eastAsiaTheme="minorEastAsia"/>
          <w:sz w:val="28"/>
          <w:szCs w:val="28"/>
        </w:rPr>
      </w:pPr>
      <w:r>
        <w:rPr>
          <w:rFonts w:hint="eastAsia" w:asciiTheme="minorEastAsia" w:hAnsiTheme="minorEastAsia" w:eastAsiaTheme="minorEastAsia"/>
          <w:b/>
          <w:sz w:val="28"/>
          <w:szCs w:val="28"/>
        </w:rPr>
        <w:t>四、培训报名</w:t>
      </w:r>
    </w:p>
    <w:p>
      <w:pPr>
        <w:spacing w:line="540" w:lineRule="exact"/>
        <w:ind w:firstLine="600"/>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培训费用：3000元/人；2人及以上2800元/人；5人及以上2400元/人，费用含培训费、资料费，不含交通费、食宿费。</w:t>
      </w:r>
    </w:p>
    <w:p>
      <w:pPr>
        <w:spacing w:line="540" w:lineRule="exact"/>
        <w:ind w:firstLine="600"/>
        <w:contextualSpacing/>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报名方式：填写报名回执，缴纳培训费用，将报名回执电子文档及缴费凭据扫描件一并发送电子邮件至info@zwxa.com.cn。</w:t>
      </w:r>
    </w:p>
    <w:p>
      <w:pPr>
        <w:spacing w:line="540" w:lineRule="exact"/>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收款信息：【银行账户】成都中网基地科技有限公司 </w:t>
      </w:r>
    </w:p>
    <w:p>
      <w:pPr>
        <w:spacing w:line="540" w:lineRule="exact"/>
        <w:contextualSpacing/>
        <w:rPr>
          <w:rFonts w:hint="eastAsia" w:asciiTheme="minorEastAsia" w:hAnsiTheme="minorEastAsia" w:eastAsiaTheme="minorEastAsia"/>
          <w:sz w:val="28"/>
          <w:szCs w:val="28"/>
        </w:rPr>
      </w:pP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【开 户</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行】中国银行股份有限公司成都晋阳支行</w:t>
      </w:r>
    </w:p>
    <w:p>
      <w:pPr>
        <w:spacing w:line="540" w:lineRule="exact"/>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【银行账号】1266 6687 5282</w:t>
      </w:r>
    </w:p>
    <w:p>
      <w:pPr>
        <w:spacing w:line="540" w:lineRule="exact"/>
        <w:contextualSpacing/>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五、联系方式</w:t>
      </w:r>
    </w:p>
    <w:p>
      <w:pPr>
        <w:spacing w:line="540" w:lineRule="exact"/>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联 系 人：黄老师、吴老师</w:t>
      </w:r>
    </w:p>
    <w:p>
      <w:pPr>
        <w:spacing w:line="540" w:lineRule="exact"/>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联系电话：028-8555 7879</w:t>
      </w:r>
    </w:p>
    <w:p>
      <w:pPr>
        <w:spacing w:line="540" w:lineRule="exact"/>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手    机：19180710307、13402814546，（微信同号）</w:t>
      </w:r>
    </w:p>
    <w:p>
      <w:pPr>
        <w:spacing w:line="540" w:lineRule="exact"/>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邮    箱：info@zwxa.com.cn</w:t>
      </w:r>
    </w:p>
    <w:p>
      <w:pPr>
        <w:spacing w:line="540" w:lineRule="exact"/>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附件1：报名回执</w:t>
      </w:r>
    </w:p>
    <w:p>
      <w:pPr>
        <w:spacing w:line="540" w:lineRule="exact"/>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附件2：报名指南</w:t>
      </w:r>
    </w:p>
    <w:p>
      <w:pPr>
        <w:spacing w:line="540" w:lineRule="exact"/>
        <w:contextualSpacing/>
        <w:rPr>
          <w:rFonts w:asciiTheme="minorEastAsia" w:hAnsiTheme="minorEastAsia" w:eastAsiaTheme="minorEastAsia"/>
          <w:sz w:val="28"/>
          <w:szCs w:val="28"/>
        </w:rPr>
      </w:pPr>
      <w:bookmarkStart w:id="0" w:name="_GoBack"/>
      <w:bookmarkEnd w:id="0"/>
    </w:p>
    <w:p>
      <w:pPr>
        <w:spacing w:line="540" w:lineRule="exact"/>
        <w:contextualSpacing/>
        <w:rPr>
          <w:rFonts w:hint="eastAsia" w:asciiTheme="minorEastAsia" w:hAnsiTheme="minorEastAsia" w:eastAsiaTheme="minorEastAsia"/>
          <w:sz w:val="28"/>
          <w:szCs w:val="28"/>
          <w:lang w:eastAsia="zh-CN"/>
        </w:rPr>
      </w:pPr>
    </w:p>
    <w:p>
      <w:pPr>
        <w:adjustRightInd w:val="0"/>
        <w:spacing w:line="540" w:lineRule="exact"/>
        <w:ind w:left="2976" w:leftChars="1417"/>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四川省计算机学会</w:t>
      </w:r>
    </w:p>
    <w:p>
      <w:pPr>
        <w:adjustRightInd w:val="0"/>
        <w:spacing w:line="540" w:lineRule="exact"/>
        <w:ind w:left="2976" w:leftChars="1417"/>
        <w:jc w:val="center"/>
        <w:rPr>
          <w:rFonts w:asciiTheme="minorEastAsia" w:hAnsiTheme="minorEastAsia" w:eastAsiaTheme="minorEastAsia"/>
          <w:sz w:val="28"/>
          <w:szCs w:val="28"/>
        </w:rPr>
      </w:pPr>
      <w:r>
        <w:rPr>
          <w:rFonts w:asciiTheme="minorEastAsia" w:hAnsiTheme="minorEastAsia" w:eastAsiaTheme="minorEastAsia"/>
          <w:sz w:val="28"/>
          <w:szCs w:val="28"/>
        </w:rPr>
        <w:t>202</w:t>
      </w:r>
      <w:r>
        <w:rPr>
          <w:rFonts w:hint="eastAsia" w:asciiTheme="minorEastAsia" w:hAnsiTheme="minorEastAsia" w:eastAsiaTheme="minorEastAsia"/>
          <w:sz w:val="28"/>
          <w:szCs w:val="28"/>
        </w:rPr>
        <w:t>1</w:t>
      </w:r>
      <w:r>
        <w:rPr>
          <w:rFonts w:asciiTheme="minorEastAsia" w:hAnsiTheme="minorEastAsia" w:eastAsiaTheme="minorEastAsia"/>
          <w:sz w:val="28"/>
          <w:szCs w:val="28"/>
        </w:rPr>
        <w:t>年</w:t>
      </w:r>
      <w:r>
        <w:rPr>
          <w:rFonts w:hint="eastAsia" w:asciiTheme="minorEastAsia" w:hAnsiTheme="minorEastAsia" w:eastAsiaTheme="minorEastAsia"/>
          <w:sz w:val="28"/>
          <w:szCs w:val="28"/>
        </w:rPr>
        <w:t>12</w:t>
      </w:r>
      <w:r>
        <w:rPr>
          <w:rFonts w:asciiTheme="minorEastAsia" w:hAnsiTheme="minorEastAsia" w:eastAsiaTheme="minorEastAsia"/>
          <w:sz w:val="28"/>
          <w:szCs w:val="28"/>
        </w:rPr>
        <w:t>月</w:t>
      </w:r>
      <w:r>
        <w:rPr>
          <w:rFonts w:hint="eastAsia" w:asciiTheme="minorEastAsia" w:hAnsiTheme="minorEastAsia" w:eastAsiaTheme="minorEastAsia"/>
          <w:sz w:val="28"/>
          <w:szCs w:val="28"/>
        </w:rPr>
        <w:t>16</w:t>
      </w:r>
      <w:r>
        <w:rPr>
          <w:rFonts w:asciiTheme="minorEastAsia" w:hAnsiTheme="minorEastAsia" w:eastAsiaTheme="minorEastAsia"/>
          <w:sz w:val="28"/>
          <w:szCs w:val="28"/>
        </w:rPr>
        <w:t>日</w:t>
      </w:r>
    </w:p>
    <w:p>
      <w:pPr>
        <w:adjustRightInd w:val="0"/>
        <w:spacing w:line="540" w:lineRule="exact"/>
        <w:ind w:left="2976" w:leftChars="1417"/>
        <w:jc w:val="center"/>
        <w:rPr>
          <w:rFonts w:asciiTheme="minorEastAsia" w:hAnsiTheme="minorEastAsia" w:eastAsiaTheme="minorEastAsia"/>
          <w:sz w:val="28"/>
          <w:szCs w:val="28"/>
        </w:rPr>
      </w:pPr>
    </w:p>
    <w:p>
      <w:pPr>
        <w:adjustRightInd w:val="0"/>
        <w:spacing w:line="540" w:lineRule="exact"/>
        <w:ind w:left="2976" w:leftChars="1417"/>
        <w:jc w:val="center"/>
        <w:rPr>
          <w:rFonts w:hint="eastAsia" w:asciiTheme="minorEastAsia" w:hAnsiTheme="minorEastAsia" w:eastAsiaTheme="minorEastAsia"/>
          <w:sz w:val="28"/>
          <w:szCs w:val="28"/>
        </w:rPr>
      </w:pPr>
    </w:p>
    <w:p>
      <w:pPr>
        <w:adjustRightInd w:val="0"/>
        <w:spacing w:line="540" w:lineRule="exact"/>
        <w:ind w:left="2976" w:leftChars="1417"/>
        <w:jc w:val="center"/>
        <w:rPr>
          <w:rFonts w:hint="eastAsia" w:asciiTheme="minorEastAsia" w:hAnsiTheme="minorEastAsia" w:eastAsiaTheme="minorEastAsia"/>
          <w:sz w:val="28"/>
          <w:szCs w:val="28"/>
        </w:rPr>
      </w:pPr>
    </w:p>
    <w:p>
      <w:pPr>
        <w:rPr>
          <w:rFonts w:ascii="宋体" w:hAnsi="宋体"/>
          <w:snapToGrid w:val="0"/>
          <w:kern w:val="28"/>
          <w:sz w:val="28"/>
          <w:szCs w:val="28"/>
        </w:rPr>
      </w:pPr>
    </w:p>
    <w:p>
      <w:pPr>
        <w:rPr>
          <w:rFonts w:ascii="宋体" w:hAnsi="宋体"/>
          <w:snapToGrid w:val="0"/>
          <w:kern w:val="28"/>
          <w:sz w:val="32"/>
          <w:szCs w:val="32"/>
        </w:rPr>
      </w:pPr>
      <w:r>
        <w:rPr>
          <w:rFonts w:hint="eastAsia" w:ascii="宋体" w:hAnsi="宋体"/>
          <w:snapToGrid w:val="0"/>
          <w:kern w:val="28"/>
          <w:sz w:val="32"/>
          <w:szCs w:val="32"/>
        </w:rPr>
        <w:t>主题词：</w:t>
      </w:r>
      <w:r>
        <w:rPr>
          <w:rFonts w:hint="eastAsia" w:ascii="黑体" w:hAnsi="黑体" w:eastAsia="黑体" w:cs="黑体"/>
          <w:snapToGrid w:val="0"/>
          <w:kern w:val="28"/>
          <w:sz w:val="32"/>
          <w:szCs w:val="32"/>
        </w:rPr>
        <w:t>网络空间安全  培训  通知</w:t>
      </w:r>
    </w:p>
    <w:p>
      <w:pPr>
        <w:pBdr>
          <w:top w:val="single" w:color="auto" w:sz="6" w:space="1"/>
          <w:bottom w:val="single" w:color="auto" w:sz="6" w:space="1"/>
        </w:pBdr>
        <w:ind w:firstLine="320" w:firstLineChars="100"/>
        <w:rPr>
          <w:rFonts w:ascii="仿宋" w:hAnsi="仿宋" w:eastAsia="仿宋"/>
          <w:sz w:val="32"/>
          <w:szCs w:val="32"/>
        </w:rPr>
      </w:pPr>
      <w:r>
        <w:rPr>
          <w:rFonts w:hint="eastAsia" w:ascii="仿宋" w:hAnsi="仿宋" w:eastAsia="仿宋"/>
          <w:kern w:val="16"/>
          <w:sz w:val="32"/>
          <w:szCs w:val="32"/>
        </w:rPr>
        <w:t>四川省计算机学会秘书处</w:t>
      </w:r>
      <w:r>
        <w:rPr>
          <w:rFonts w:hint="eastAsia" w:ascii="仿宋" w:hAnsi="仿宋" w:eastAsia="仿宋"/>
          <w:sz w:val="32"/>
          <w:szCs w:val="32"/>
        </w:rPr>
        <w:t xml:space="preserve">       2021年12月16日印发</w:t>
      </w:r>
    </w:p>
    <w:p>
      <w:pPr>
        <w:rPr>
          <w:rFonts w:asciiTheme="minorEastAsia" w:hAnsiTheme="minorEastAsia" w:eastAsiaTheme="minorEastAsia" w:cstheme="minorEastAsia"/>
          <w:b/>
          <w:sz w:val="24"/>
          <w:szCs w:val="24"/>
        </w:rPr>
      </w:pPr>
      <w:r>
        <w:rPr>
          <w:rFonts w:hint="eastAsia" w:ascii="宋体" w:hAnsi="宋体"/>
          <w:sz w:val="32"/>
          <w:szCs w:val="32"/>
        </w:rPr>
        <w:br w:type="page"/>
      </w:r>
      <w:r>
        <w:rPr>
          <w:rFonts w:hint="eastAsia" w:asciiTheme="minorEastAsia" w:hAnsiTheme="minorEastAsia" w:eastAsiaTheme="minorEastAsia" w:cstheme="minorEastAsia"/>
          <w:b/>
          <w:sz w:val="28"/>
          <w:szCs w:val="28"/>
        </w:rPr>
        <w:t>附件1  报名回执</w:t>
      </w:r>
    </w:p>
    <w:p>
      <w:pPr>
        <w:adjustRightInd w:val="0"/>
        <w:spacing w:line="56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报名回执</w:t>
      </w:r>
    </w:p>
    <w:p>
      <w:pPr>
        <w:adjustRightInd w:val="0"/>
        <w:spacing w:line="560" w:lineRule="exact"/>
        <w:jc w:val="center"/>
        <w:rPr>
          <w:rFonts w:asciiTheme="minorEastAsia" w:hAnsiTheme="minorEastAsia" w:eastAsiaTheme="minorEastAsia" w:cstheme="minorEastAsia"/>
          <w:b/>
          <w:bCs/>
          <w:sz w:val="32"/>
          <w:szCs w:val="32"/>
        </w:rPr>
      </w:pPr>
    </w:p>
    <w:tbl>
      <w:tblPr>
        <w:tblStyle w:val="6"/>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448"/>
        <w:gridCol w:w="1987"/>
        <w:gridCol w:w="1362"/>
        <w:gridCol w:w="1818"/>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91" w:type="dxa"/>
            <w:gridSpan w:val="2"/>
            <w:vAlign w:val="center"/>
          </w:tcPr>
          <w:p>
            <w:pPr>
              <w:adjustRightInd w:val="0"/>
              <w:ind w:firstLine="482"/>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单位名称</w:t>
            </w:r>
          </w:p>
        </w:tc>
        <w:tc>
          <w:tcPr>
            <w:tcW w:w="7293" w:type="dxa"/>
            <w:gridSpan w:val="4"/>
            <w:vAlign w:val="center"/>
          </w:tcPr>
          <w:p>
            <w:pPr>
              <w:adjustRightInd w:val="0"/>
              <w:ind w:firstLine="480"/>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91" w:type="dxa"/>
            <w:gridSpan w:val="2"/>
            <w:vAlign w:val="center"/>
          </w:tcPr>
          <w:p>
            <w:pPr>
              <w:adjustRightInd w:val="0"/>
              <w:jc w:val="center"/>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纳税人识别号</w:t>
            </w:r>
          </w:p>
        </w:tc>
        <w:tc>
          <w:tcPr>
            <w:tcW w:w="7293" w:type="dxa"/>
            <w:gridSpan w:val="4"/>
            <w:vAlign w:val="center"/>
          </w:tcPr>
          <w:p>
            <w:pPr>
              <w:adjustRightInd w:val="0"/>
              <w:ind w:firstLine="480"/>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57" w:type="dxa"/>
            <w:vMerge w:val="restart"/>
            <w:vAlign w:val="center"/>
          </w:tcPr>
          <w:p>
            <w:pPr>
              <w:adjustRightInd w:val="0"/>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kern w:val="0"/>
                <w:sz w:val="24"/>
                <w:szCs w:val="24"/>
              </w:rPr>
              <w:t>参参训人员</w:t>
            </w:r>
          </w:p>
        </w:tc>
        <w:tc>
          <w:tcPr>
            <w:tcW w:w="1534" w:type="dxa"/>
            <w:vAlign w:val="center"/>
          </w:tcPr>
          <w:p>
            <w:pPr>
              <w:adjustRightInd w:val="0"/>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姓名</w:t>
            </w:r>
          </w:p>
        </w:tc>
        <w:tc>
          <w:tcPr>
            <w:tcW w:w="2119" w:type="dxa"/>
            <w:vAlign w:val="center"/>
          </w:tcPr>
          <w:p>
            <w:pPr>
              <w:adjustRightInd w:val="0"/>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授课专业</w:t>
            </w:r>
          </w:p>
        </w:tc>
        <w:tc>
          <w:tcPr>
            <w:tcW w:w="1440" w:type="dxa"/>
            <w:vAlign w:val="center"/>
          </w:tcPr>
          <w:p>
            <w:pPr>
              <w:adjustRightInd w:val="0"/>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职务</w:t>
            </w:r>
          </w:p>
        </w:tc>
        <w:tc>
          <w:tcPr>
            <w:tcW w:w="1935" w:type="dxa"/>
            <w:vAlign w:val="center"/>
          </w:tcPr>
          <w:p>
            <w:pPr>
              <w:adjustRightInd w:val="0"/>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移动电话</w:t>
            </w:r>
          </w:p>
        </w:tc>
        <w:tc>
          <w:tcPr>
            <w:tcW w:w="1799" w:type="dxa"/>
            <w:vAlign w:val="center"/>
          </w:tcPr>
          <w:p>
            <w:pPr>
              <w:adjustRightInd w:val="0"/>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57" w:type="dxa"/>
            <w:vMerge w:val="continue"/>
            <w:vAlign w:val="center"/>
          </w:tcPr>
          <w:p>
            <w:pPr>
              <w:adjustRightInd w:val="0"/>
              <w:ind w:firstLine="480"/>
              <w:rPr>
                <w:rFonts w:asciiTheme="minorEastAsia" w:hAnsiTheme="minorEastAsia" w:eastAsiaTheme="minorEastAsia" w:cstheme="minorEastAsia"/>
                <w:kern w:val="0"/>
                <w:sz w:val="24"/>
                <w:szCs w:val="24"/>
              </w:rPr>
            </w:pPr>
          </w:p>
        </w:tc>
        <w:tc>
          <w:tcPr>
            <w:tcW w:w="1534" w:type="dxa"/>
            <w:vAlign w:val="center"/>
          </w:tcPr>
          <w:p>
            <w:pPr>
              <w:adjustRightInd w:val="0"/>
              <w:ind w:firstLine="480"/>
              <w:rPr>
                <w:rFonts w:asciiTheme="minorEastAsia" w:hAnsiTheme="minorEastAsia" w:eastAsiaTheme="minorEastAsia" w:cstheme="minorEastAsia"/>
                <w:kern w:val="0"/>
                <w:sz w:val="24"/>
                <w:szCs w:val="24"/>
              </w:rPr>
            </w:pPr>
          </w:p>
        </w:tc>
        <w:tc>
          <w:tcPr>
            <w:tcW w:w="2119" w:type="dxa"/>
            <w:vAlign w:val="center"/>
          </w:tcPr>
          <w:p>
            <w:pPr>
              <w:adjustRightInd w:val="0"/>
              <w:ind w:firstLine="480"/>
              <w:rPr>
                <w:rFonts w:asciiTheme="minorEastAsia" w:hAnsiTheme="minorEastAsia" w:eastAsiaTheme="minorEastAsia" w:cstheme="minorEastAsia"/>
                <w:kern w:val="0"/>
                <w:sz w:val="24"/>
                <w:szCs w:val="24"/>
              </w:rPr>
            </w:pPr>
          </w:p>
        </w:tc>
        <w:tc>
          <w:tcPr>
            <w:tcW w:w="1440" w:type="dxa"/>
            <w:vAlign w:val="center"/>
          </w:tcPr>
          <w:p>
            <w:pPr>
              <w:adjustRightInd w:val="0"/>
              <w:ind w:firstLine="480"/>
              <w:rPr>
                <w:rFonts w:asciiTheme="minorEastAsia" w:hAnsiTheme="minorEastAsia" w:eastAsiaTheme="minorEastAsia" w:cstheme="minorEastAsia"/>
                <w:kern w:val="0"/>
                <w:sz w:val="24"/>
                <w:szCs w:val="24"/>
              </w:rPr>
            </w:pPr>
          </w:p>
        </w:tc>
        <w:tc>
          <w:tcPr>
            <w:tcW w:w="1935" w:type="dxa"/>
            <w:vAlign w:val="center"/>
          </w:tcPr>
          <w:p>
            <w:pPr>
              <w:adjustRightInd w:val="0"/>
              <w:ind w:firstLine="480"/>
              <w:rPr>
                <w:rFonts w:asciiTheme="minorEastAsia" w:hAnsiTheme="minorEastAsia" w:eastAsiaTheme="minorEastAsia" w:cstheme="minorEastAsia"/>
                <w:kern w:val="0"/>
                <w:sz w:val="24"/>
                <w:szCs w:val="24"/>
              </w:rPr>
            </w:pPr>
          </w:p>
        </w:tc>
        <w:tc>
          <w:tcPr>
            <w:tcW w:w="1799" w:type="dxa"/>
            <w:vAlign w:val="center"/>
          </w:tcPr>
          <w:p>
            <w:pPr>
              <w:adjustRightInd w:val="0"/>
              <w:ind w:firstLine="480"/>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57" w:type="dxa"/>
            <w:vMerge w:val="continue"/>
            <w:vAlign w:val="center"/>
          </w:tcPr>
          <w:p>
            <w:pPr>
              <w:adjustRightInd w:val="0"/>
              <w:ind w:firstLine="480"/>
              <w:rPr>
                <w:rFonts w:asciiTheme="minorEastAsia" w:hAnsiTheme="minorEastAsia" w:eastAsiaTheme="minorEastAsia" w:cstheme="minorEastAsia"/>
                <w:kern w:val="0"/>
                <w:sz w:val="24"/>
                <w:szCs w:val="24"/>
              </w:rPr>
            </w:pPr>
          </w:p>
        </w:tc>
        <w:tc>
          <w:tcPr>
            <w:tcW w:w="1534" w:type="dxa"/>
            <w:vAlign w:val="center"/>
          </w:tcPr>
          <w:p>
            <w:pPr>
              <w:adjustRightInd w:val="0"/>
              <w:ind w:firstLine="480"/>
              <w:rPr>
                <w:rFonts w:asciiTheme="minorEastAsia" w:hAnsiTheme="minorEastAsia" w:eastAsiaTheme="minorEastAsia" w:cstheme="minorEastAsia"/>
                <w:kern w:val="0"/>
                <w:sz w:val="24"/>
                <w:szCs w:val="24"/>
              </w:rPr>
            </w:pPr>
          </w:p>
        </w:tc>
        <w:tc>
          <w:tcPr>
            <w:tcW w:w="2119" w:type="dxa"/>
            <w:vAlign w:val="center"/>
          </w:tcPr>
          <w:p>
            <w:pPr>
              <w:adjustRightInd w:val="0"/>
              <w:ind w:firstLine="480"/>
              <w:rPr>
                <w:rFonts w:asciiTheme="minorEastAsia" w:hAnsiTheme="minorEastAsia" w:eastAsiaTheme="minorEastAsia" w:cstheme="minorEastAsia"/>
                <w:kern w:val="0"/>
                <w:sz w:val="24"/>
                <w:szCs w:val="24"/>
              </w:rPr>
            </w:pPr>
          </w:p>
        </w:tc>
        <w:tc>
          <w:tcPr>
            <w:tcW w:w="1440" w:type="dxa"/>
            <w:vAlign w:val="center"/>
          </w:tcPr>
          <w:p>
            <w:pPr>
              <w:adjustRightInd w:val="0"/>
              <w:ind w:firstLine="480"/>
              <w:rPr>
                <w:rFonts w:asciiTheme="minorEastAsia" w:hAnsiTheme="minorEastAsia" w:eastAsiaTheme="minorEastAsia" w:cstheme="minorEastAsia"/>
                <w:kern w:val="0"/>
                <w:sz w:val="24"/>
                <w:szCs w:val="24"/>
              </w:rPr>
            </w:pPr>
          </w:p>
        </w:tc>
        <w:tc>
          <w:tcPr>
            <w:tcW w:w="1935" w:type="dxa"/>
            <w:vAlign w:val="center"/>
          </w:tcPr>
          <w:p>
            <w:pPr>
              <w:adjustRightInd w:val="0"/>
              <w:ind w:firstLine="480"/>
              <w:rPr>
                <w:rFonts w:asciiTheme="minorEastAsia" w:hAnsiTheme="minorEastAsia" w:eastAsiaTheme="minorEastAsia" w:cstheme="minorEastAsia"/>
                <w:kern w:val="0"/>
                <w:sz w:val="24"/>
                <w:szCs w:val="24"/>
              </w:rPr>
            </w:pPr>
          </w:p>
        </w:tc>
        <w:tc>
          <w:tcPr>
            <w:tcW w:w="1799" w:type="dxa"/>
            <w:vAlign w:val="center"/>
          </w:tcPr>
          <w:p>
            <w:pPr>
              <w:adjustRightInd w:val="0"/>
              <w:ind w:firstLine="480"/>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57" w:type="dxa"/>
            <w:vMerge w:val="continue"/>
            <w:vAlign w:val="center"/>
          </w:tcPr>
          <w:p>
            <w:pPr>
              <w:adjustRightInd w:val="0"/>
              <w:ind w:firstLine="480"/>
              <w:rPr>
                <w:rFonts w:asciiTheme="minorEastAsia" w:hAnsiTheme="minorEastAsia" w:eastAsiaTheme="minorEastAsia" w:cstheme="minorEastAsia"/>
                <w:kern w:val="0"/>
                <w:sz w:val="24"/>
                <w:szCs w:val="24"/>
              </w:rPr>
            </w:pPr>
          </w:p>
        </w:tc>
        <w:tc>
          <w:tcPr>
            <w:tcW w:w="1534" w:type="dxa"/>
            <w:vAlign w:val="center"/>
          </w:tcPr>
          <w:p>
            <w:pPr>
              <w:adjustRightInd w:val="0"/>
              <w:ind w:firstLine="480"/>
              <w:rPr>
                <w:rFonts w:asciiTheme="minorEastAsia" w:hAnsiTheme="minorEastAsia" w:eastAsiaTheme="minorEastAsia" w:cstheme="minorEastAsia"/>
                <w:kern w:val="0"/>
                <w:sz w:val="24"/>
                <w:szCs w:val="24"/>
              </w:rPr>
            </w:pPr>
          </w:p>
        </w:tc>
        <w:tc>
          <w:tcPr>
            <w:tcW w:w="2119" w:type="dxa"/>
            <w:vAlign w:val="center"/>
          </w:tcPr>
          <w:p>
            <w:pPr>
              <w:adjustRightInd w:val="0"/>
              <w:ind w:firstLine="480"/>
              <w:rPr>
                <w:rFonts w:asciiTheme="minorEastAsia" w:hAnsiTheme="minorEastAsia" w:eastAsiaTheme="minorEastAsia" w:cstheme="minorEastAsia"/>
                <w:kern w:val="0"/>
                <w:sz w:val="24"/>
                <w:szCs w:val="24"/>
              </w:rPr>
            </w:pPr>
          </w:p>
        </w:tc>
        <w:tc>
          <w:tcPr>
            <w:tcW w:w="1440" w:type="dxa"/>
            <w:vAlign w:val="center"/>
          </w:tcPr>
          <w:p>
            <w:pPr>
              <w:adjustRightInd w:val="0"/>
              <w:ind w:firstLine="480"/>
              <w:rPr>
                <w:rFonts w:asciiTheme="minorEastAsia" w:hAnsiTheme="minorEastAsia" w:eastAsiaTheme="minorEastAsia" w:cstheme="minorEastAsia"/>
                <w:kern w:val="0"/>
                <w:sz w:val="24"/>
                <w:szCs w:val="24"/>
              </w:rPr>
            </w:pPr>
          </w:p>
        </w:tc>
        <w:tc>
          <w:tcPr>
            <w:tcW w:w="1935" w:type="dxa"/>
            <w:vAlign w:val="center"/>
          </w:tcPr>
          <w:p>
            <w:pPr>
              <w:adjustRightInd w:val="0"/>
              <w:ind w:firstLine="480"/>
              <w:rPr>
                <w:rFonts w:asciiTheme="minorEastAsia" w:hAnsiTheme="minorEastAsia" w:eastAsiaTheme="minorEastAsia" w:cstheme="minorEastAsia"/>
                <w:kern w:val="0"/>
                <w:sz w:val="24"/>
                <w:szCs w:val="24"/>
              </w:rPr>
            </w:pPr>
          </w:p>
        </w:tc>
        <w:tc>
          <w:tcPr>
            <w:tcW w:w="1799" w:type="dxa"/>
            <w:vAlign w:val="center"/>
          </w:tcPr>
          <w:p>
            <w:pPr>
              <w:adjustRightInd w:val="0"/>
              <w:ind w:firstLine="480"/>
              <w:rPr>
                <w:rFonts w:asciiTheme="minorEastAsia" w:hAnsiTheme="minorEastAsia" w:eastAsiaTheme="minorEastAsia" w:cstheme="minorEastAsia"/>
                <w:kern w:val="0"/>
                <w:sz w:val="24"/>
                <w:szCs w:val="24"/>
              </w:rPr>
            </w:pPr>
          </w:p>
        </w:tc>
      </w:tr>
    </w:tbl>
    <w:p>
      <w:pPr>
        <w:adjustRightInd w:val="0"/>
        <w:jc w:val="center"/>
        <w:rPr>
          <w:rFonts w:asciiTheme="minorEastAsia" w:hAnsiTheme="minorEastAsia" w:eastAsiaTheme="minorEastAsia" w:cstheme="minorEastAsia"/>
          <w:bCs/>
          <w:szCs w:val="21"/>
        </w:rPr>
      </w:pPr>
    </w:p>
    <w:p>
      <w:pPr>
        <w:adjustRightInd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请报名参训人员填写《报名回执》，并发送至</w:t>
      </w:r>
      <w:r>
        <w:rPr>
          <w:rFonts w:hint="eastAsia" w:asciiTheme="minorEastAsia" w:hAnsiTheme="minorEastAsia" w:eastAsiaTheme="minorEastAsia" w:cstheme="minorEastAsia"/>
          <w:b/>
          <w:bCs/>
          <w:sz w:val="24"/>
          <w:szCs w:val="24"/>
        </w:rPr>
        <w:t xml:space="preserve"> </w:t>
      </w:r>
      <w:r>
        <w:fldChar w:fldCharType="begin"/>
      </w:r>
      <w:r>
        <w:instrText xml:space="preserve"> HYPERLINK "mailto:liuhongzhen@zwxa.com.cn" </w:instrText>
      </w:r>
      <w:r>
        <w:fldChar w:fldCharType="separate"/>
      </w:r>
      <w:r>
        <w:rPr>
          <w:rFonts w:hint="eastAsia" w:asciiTheme="minorEastAsia" w:hAnsiTheme="minorEastAsia" w:eastAsiaTheme="minorEastAsia" w:cstheme="minorEastAsia"/>
          <w:b/>
          <w:bCs/>
          <w:sz w:val="24"/>
          <w:szCs w:val="24"/>
        </w:rPr>
        <w:t>info@zwxa.com.cn</w:t>
      </w:r>
      <w:r>
        <w:rPr>
          <w:rFonts w:hint="eastAsia" w:asciiTheme="minorEastAsia" w:hAnsiTheme="minorEastAsia" w:eastAsiaTheme="minorEastAsia" w:cstheme="minorEastAsia"/>
          <w:b/>
          <w:bCs/>
          <w:sz w:val="24"/>
          <w:szCs w:val="24"/>
        </w:rPr>
        <w:fldChar w:fldCharType="end"/>
      </w:r>
    </w:p>
    <w:p>
      <w:pPr>
        <w:rPr>
          <w:rFonts w:asciiTheme="minorEastAsia" w:hAnsiTheme="minorEastAsia" w:eastAsiaTheme="minorEastAsia"/>
          <w:sz w:val="24"/>
          <w:szCs w:val="24"/>
        </w:rPr>
      </w:pPr>
      <w:r>
        <w:rPr>
          <w:rFonts w:hint="eastAsia" w:asciiTheme="minorEastAsia" w:hAnsiTheme="minorEastAsia" w:eastAsiaTheme="minorEastAsia"/>
          <w:sz w:val="24"/>
          <w:szCs w:val="24"/>
        </w:rPr>
        <w:br w:type="page"/>
      </w:r>
    </w:p>
    <w:p>
      <w:pP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附件2   报名指南</w:t>
      </w:r>
    </w:p>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报名指南</w:t>
      </w:r>
    </w:p>
    <w:p>
      <w:pPr>
        <w:numPr>
          <w:ilvl w:val="0"/>
          <w:numId w:val="1"/>
        </w:numPr>
        <w:spacing w:line="580" w:lineRule="exact"/>
        <w:ind w:firstLine="562"/>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推荐入住酒店</w:t>
      </w:r>
    </w:p>
    <w:tbl>
      <w:tblPr>
        <w:tblStyle w:val="5"/>
        <w:tblW w:w="92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1455"/>
        <w:gridCol w:w="1635"/>
        <w:gridCol w:w="184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238" w:type="dxa"/>
            <w:gridSpan w:val="5"/>
            <w:shd w:val="clear" w:color="auto" w:fill="auto"/>
            <w:noWrap/>
            <w:vAlign w:val="center"/>
          </w:tcPr>
          <w:p>
            <w:pPr>
              <w:widowControl/>
              <w:jc w:val="center"/>
              <w:textAlignment w:val="center"/>
              <w:rPr>
                <w:rFonts w:cs="宋体" w:asciiTheme="minorEastAsia" w:hAnsiTheme="minorEastAsia" w:eastAsiaTheme="minorEastAsia"/>
                <w:bCs/>
                <w:sz w:val="24"/>
                <w:szCs w:val="24"/>
              </w:rPr>
            </w:pPr>
            <w:r>
              <w:rPr>
                <w:rFonts w:hint="eastAsia" w:cs="宋体" w:asciiTheme="minorEastAsia" w:hAnsiTheme="minorEastAsia" w:eastAsiaTheme="minorEastAsia"/>
                <w:bCs/>
                <w:kern w:val="0"/>
                <w:sz w:val="24"/>
                <w:szCs w:val="24"/>
              </w:rPr>
              <w:t>高档型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473"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酒店名称</w:t>
            </w:r>
          </w:p>
        </w:tc>
        <w:tc>
          <w:tcPr>
            <w:tcW w:w="145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房型</w:t>
            </w:r>
          </w:p>
        </w:tc>
        <w:tc>
          <w:tcPr>
            <w:tcW w:w="163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价格</w:t>
            </w:r>
          </w:p>
        </w:tc>
        <w:tc>
          <w:tcPr>
            <w:tcW w:w="184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距离</w:t>
            </w:r>
          </w:p>
        </w:tc>
        <w:tc>
          <w:tcPr>
            <w:tcW w:w="1830"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73" w:type="dxa"/>
            <w:vMerge w:val="restart"/>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美豪丽致酒店</w:t>
            </w:r>
          </w:p>
        </w:tc>
        <w:tc>
          <w:tcPr>
            <w:tcW w:w="145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标准间</w:t>
            </w:r>
          </w:p>
        </w:tc>
        <w:tc>
          <w:tcPr>
            <w:tcW w:w="163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399元/天</w:t>
            </w:r>
          </w:p>
        </w:tc>
        <w:tc>
          <w:tcPr>
            <w:tcW w:w="1845" w:type="dxa"/>
            <w:vMerge w:val="restart"/>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462米</w:t>
            </w:r>
          </w:p>
        </w:tc>
        <w:tc>
          <w:tcPr>
            <w:tcW w:w="1830"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含早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73" w:type="dxa"/>
            <w:vMerge w:val="continue"/>
            <w:shd w:val="clear" w:color="auto" w:fill="auto"/>
            <w:noWrap/>
            <w:vAlign w:val="center"/>
          </w:tcPr>
          <w:p>
            <w:pPr>
              <w:jc w:val="center"/>
              <w:rPr>
                <w:rFonts w:cs="宋体" w:asciiTheme="minorEastAsia" w:hAnsiTheme="minorEastAsia" w:eastAsiaTheme="minorEastAsia"/>
                <w:sz w:val="24"/>
                <w:szCs w:val="24"/>
              </w:rPr>
            </w:pPr>
          </w:p>
        </w:tc>
        <w:tc>
          <w:tcPr>
            <w:tcW w:w="145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大床房</w:t>
            </w:r>
          </w:p>
        </w:tc>
        <w:tc>
          <w:tcPr>
            <w:tcW w:w="163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399元/天</w:t>
            </w:r>
          </w:p>
        </w:tc>
        <w:tc>
          <w:tcPr>
            <w:tcW w:w="1845" w:type="dxa"/>
            <w:vMerge w:val="continue"/>
            <w:shd w:val="clear" w:color="auto" w:fill="auto"/>
            <w:noWrap/>
            <w:vAlign w:val="center"/>
          </w:tcPr>
          <w:p>
            <w:pPr>
              <w:jc w:val="center"/>
              <w:rPr>
                <w:rFonts w:cs="宋体" w:asciiTheme="minorEastAsia" w:hAnsiTheme="minorEastAsia" w:eastAsiaTheme="minorEastAsia"/>
                <w:sz w:val="24"/>
                <w:szCs w:val="24"/>
              </w:rPr>
            </w:pPr>
          </w:p>
        </w:tc>
        <w:tc>
          <w:tcPr>
            <w:tcW w:w="1830"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含早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238" w:type="dxa"/>
            <w:gridSpan w:val="5"/>
            <w:shd w:val="clear" w:color="auto" w:fill="auto"/>
            <w:noWrap/>
            <w:vAlign w:val="center"/>
          </w:tcPr>
          <w:p>
            <w:pPr>
              <w:widowControl/>
              <w:jc w:val="center"/>
              <w:textAlignment w:val="center"/>
              <w:rPr>
                <w:rFonts w:cs="宋体" w:asciiTheme="minorEastAsia" w:hAnsiTheme="minorEastAsia" w:eastAsiaTheme="minorEastAsia"/>
                <w:bCs/>
                <w:sz w:val="24"/>
                <w:szCs w:val="24"/>
              </w:rPr>
            </w:pPr>
            <w:r>
              <w:rPr>
                <w:rFonts w:hint="eastAsia" w:cs="宋体" w:asciiTheme="minorEastAsia" w:hAnsiTheme="minorEastAsia" w:eastAsiaTheme="minorEastAsia"/>
                <w:bCs/>
                <w:kern w:val="0"/>
                <w:sz w:val="24"/>
                <w:szCs w:val="24"/>
              </w:rPr>
              <w:t>舒适型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73"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酒店名称</w:t>
            </w:r>
          </w:p>
        </w:tc>
        <w:tc>
          <w:tcPr>
            <w:tcW w:w="145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房型</w:t>
            </w:r>
          </w:p>
        </w:tc>
        <w:tc>
          <w:tcPr>
            <w:tcW w:w="163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价格</w:t>
            </w:r>
          </w:p>
        </w:tc>
        <w:tc>
          <w:tcPr>
            <w:tcW w:w="184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距离</w:t>
            </w:r>
          </w:p>
        </w:tc>
        <w:tc>
          <w:tcPr>
            <w:tcW w:w="1830"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473" w:type="dxa"/>
            <w:vMerge w:val="restart"/>
            <w:shd w:val="clear" w:color="auto" w:fill="auto"/>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智选假日酒店（武侯新城市店）</w:t>
            </w:r>
          </w:p>
        </w:tc>
        <w:tc>
          <w:tcPr>
            <w:tcW w:w="145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标准间</w:t>
            </w:r>
          </w:p>
        </w:tc>
        <w:tc>
          <w:tcPr>
            <w:tcW w:w="163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298元/天</w:t>
            </w:r>
          </w:p>
        </w:tc>
        <w:tc>
          <w:tcPr>
            <w:tcW w:w="1845" w:type="dxa"/>
            <w:vMerge w:val="restart"/>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1.2公里</w:t>
            </w:r>
          </w:p>
        </w:tc>
        <w:tc>
          <w:tcPr>
            <w:tcW w:w="1830" w:type="dxa"/>
            <w:vMerge w:val="restart"/>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含早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73" w:type="dxa"/>
            <w:vMerge w:val="continue"/>
            <w:shd w:val="clear" w:color="auto" w:fill="auto"/>
            <w:vAlign w:val="center"/>
          </w:tcPr>
          <w:p>
            <w:pPr>
              <w:jc w:val="center"/>
              <w:rPr>
                <w:rFonts w:cs="宋体" w:asciiTheme="minorEastAsia" w:hAnsiTheme="minorEastAsia" w:eastAsiaTheme="minorEastAsia"/>
                <w:sz w:val="24"/>
                <w:szCs w:val="24"/>
              </w:rPr>
            </w:pPr>
          </w:p>
        </w:tc>
        <w:tc>
          <w:tcPr>
            <w:tcW w:w="145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大床间</w:t>
            </w:r>
          </w:p>
        </w:tc>
        <w:tc>
          <w:tcPr>
            <w:tcW w:w="163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298元/天</w:t>
            </w:r>
          </w:p>
        </w:tc>
        <w:tc>
          <w:tcPr>
            <w:tcW w:w="1845" w:type="dxa"/>
            <w:vMerge w:val="continue"/>
            <w:shd w:val="clear" w:color="auto" w:fill="auto"/>
            <w:noWrap/>
            <w:vAlign w:val="center"/>
          </w:tcPr>
          <w:p>
            <w:pPr>
              <w:jc w:val="center"/>
              <w:rPr>
                <w:rFonts w:cs="宋体" w:asciiTheme="minorEastAsia" w:hAnsiTheme="minorEastAsia" w:eastAsiaTheme="minorEastAsia"/>
                <w:sz w:val="24"/>
                <w:szCs w:val="24"/>
              </w:rPr>
            </w:pPr>
          </w:p>
        </w:tc>
        <w:tc>
          <w:tcPr>
            <w:tcW w:w="1830" w:type="dxa"/>
            <w:vMerge w:val="continue"/>
            <w:shd w:val="clear" w:color="auto" w:fill="auto"/>
            <w:noWrap/>
            <w:vAlign w:val="center"/>
          </w:tcPr>
          <w:p>
            <w:pPr>
              <w:jc w:val="center"/>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73" w:type="dxa"/>
            <w:vMerge w:val="restart"/>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凯里亚德酒店</w:t>
            </w:r>
          </w:p>
        </w:tc>
        <w:tc>
          <w:tcPr>
            <w:tcW w:w="145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标准间</w:t>
            </w:r>
          </w:p>
        </w:tc>
        <w:tc>
          <w:tcPr>
            <w:tcW w:w="163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298元/天</w:t>
            </w:r>
          </w:p>
        </w:tc>
        <w:tc>
          <w:tcPr>
            <w:tcW w:w="1845" w:type="dxa"/>
            <w:vMerge w:val="restart"/>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2公里</w:t>
            </w:r>
          </w:p>
        </w:tc>
        <w:tc>
          <w:tcPr>
            <w:tcW w:w="1830"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含早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73" w:type="dxa"/>
            <w:vMerge w:val="continue"/>
            <w:shd w:val="clear" w:color="auto" w:fill="auto"/>
            <w:noWrap/>
            <w:vAlign w:val="center"/>
          </w:tcPr>
          <w:p>
            <w:pPr>
              <w:jc w:val="center"/>
              <w:rPr>
                <w:rFonts w:cs="宋体" w:asciiTheme="minorEastAsia" w:hAnsiTheme="minorEastAsia" w:eastAsiaTheme="minorEastAsia"/>
                <w:sz w:val="24"/>
                <w:szCs w:val="24"/>
              </w:rPr>
            </w:pPr>
          </w:p>
        </w:tc>
        <w:tc>
          <w:tcPr>
            <w:tcW w:w="145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大床间</w:t>
            </w:r>
          </w:p>
        </w:tc>
        <w:tc>
          <w:tcPr>
            <w:tcW w:w="163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298元/天</w:t>
            </w:r>
          </w:p>
        </w:tc>
        <w:tc>
          <w:tcPr>
            <w:tcW w:w="1845" w:type="dxa"/>
            <w:vMerge w:val="continue"/>
            <w:shd w:val="clear" w:color="auto" w:fill="auto"/>
            <w:noWrap/>
            <w:vAlign w:val="center"/>
          </w:tcPr>
          <w:p>
            <w:pPr>
              <w:jc w:val="center"/>
              <w:rPr>
                <w:rFonts w:cs="宋体" w:asciiTheme="minorEastAsia" w:hAnsiTheme="minorEastAsia" w:eastAsiaTheme="minorEastAsia"/>
                <w:sz w:val="24"/>
                <w:szCs w:val="24"/>
              </w:rPr>
            </w:pPr>
          </w:p>
        </w:tc>
        <w:tc>
          <w:tcPr>
            <w:tcW w:w="1830"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含早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38" w:type="dxa"/>
            <w:gridSpan w:val="5"/>
            <w:shd w:val="clear" w:color="auto" w:fill="auto"/>
            <w:noWrap/>
            <w:vAlign w:val="center"/>
          </w:tcPr>
          <w:p>
            <w:pPr>
              <w:widowControl/>
              <w:jc w:val="center"/>
              <w:textAlignment w:val="center"/>
              <w:rPr>
                <w:rFonts w:cs="宋体" w:asciiTheme="minorEastAsia" w:hAnsiTheme="minorEastAsia" w:eastAsiaTheme="minorEastAsia"/>
                <w:bCs/>
                <w:sz w:val="24"/>
                <w:szCs w:val="24"/>
              </w:rPr>
            </w:pPr>
            <w:r>
              <w:rPr>
                <w:rFonts w:hint="eastAsia" w:cs="宋体" w:asciiTheme="minorEastAsia" w:hAnsiTheme="minorEastAsia" w:eastAsiaTheme="minorEastAsia"/>
                <w:bCs/>
                <w:kern w:val="0"/>
                <w:sz w:val="24"/>
                <w:szCs w:val="24"/>
              </w:rPr>
              <w:t>经济型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73"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酒店名称</w:t>
            </w:r>
          </w:p>
        </w:tc>
        <w:tc>
          <w:tcPr>
            <w:tcW w:w="145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房型</w:t>
            </w:r>
          </w:p>
        </w:tc>
        <w:tc>
          <w:tcPr>
            <w:tcW w:w="163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价格</w:t>
            </w:r>
          </w:p>
        </w:tc>
        <w:tc>
          <w:tcPr>
            <w:tcW w:w="184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距离</w:t>
            </w:r>
          </w:p>
        </w:tc>
        <w:tc>
          <w:tcPr>
            <w:tcW w:w="1830"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73" w:type="dxa"/>
            <w:vMerge w:val="restart"/>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云孚里酒店</w:t>
            </w:r>
          </w:p>
        </w:tc>
        <w:tc>
          <w:tcPr>
            <w:tcW w:w="145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标准间</w:t>
            </w:r>
          </w:p>
        </w:tc>
        <w:tc>
          <w:tcPr>
            <w:tcW w:w="163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228元/天</w:t>
            </w:r>
          </w:p>
        </w:tc>
        <w:tc>
          <w:tcPr>
            <w:tcW w:w="1845" w:type="dxa"/>
            <w:vMerge w:val="restart"/>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1.8公里</w:t>
            </w:r>
          </w:p>
        </w:tc>
        <w:tc>
          <w:tcPr>
            <w:tcW w:w="1830"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含早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73" w:type="dxa"/>
            <w:vMerge w:val="continue"/>
            <w:shd w:val="clear" w:color="auto" w:fill="auto"/>
            <w:noWrap/>
            <w:vAlign w:val="center"/>
          </w:tcPr>
          <w:p>
            <w:pPr>
              <w:jc w:val="center"/>
              <w:rPr>
                <w:rFonts w:cs="宋体" w:asciiTheme="minorEastAsia" w:hAnsiTheme="minorEastAsia" w:eastAsiaTheme="minorEastAsia"/>
                <w:sz w:val="24"/>
                <w:szCs w:val="24"/>
              </w:rPr>
            </w:pPr>
          </w:p>
        </w:tc>
        <w:tc>
          <w:tcPr>
            <w:tcW w:w="145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大床间</w:t>
            </w:r>
          </w:p>
        </w:tc>
        <w:tc>
          <w:tcPr>
            <w:tcW w:w="1635"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228元/天</w:t>
            </w:r>
          </w:p>
        </w:tc>
        <w:tc>
          <w:tcPr>
            <w:tcW w:w="1845" w:type="dxa"/>
            <w:vMerge w:val="continue"/>
            <w:shd w:val="clear" w:color="auto" w:fill="auto"/>
            <w:noWrap/>
            <w:vAlign w:val="center"/>
          </w:tcPr>
          <w:p>
            <w:pPr>
              <w:jc w:val="center"/>
              <w:rPr>
                <w:rFonts w:cs="宋体" w:asciiTheme="minorEastAsia" w:hAnsiTheme="minorEastAsia" w:eastAsiaTheme="minorEastAsia"/>
                <w:sz w:val="24"/>
                <w:szCs w:val="24"/>
              </w:rPr>
            </w:pPr>
          </w:p>
        </w:tc>
        <w:tc>
          <w:tcPr>
            <w:tcW w:w="1830" w:type="dxa"/>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含早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73" w:type="dxa"/>
            <w:vMerge w:val="restart"/>
            <w:shd w:val="clear" w:color="auto" w:fill="auto"/>
            <w:noWrap/>
            <w:vAlign w:val="center"/>
          </w:tcPr>
          <w:p>
            <w:pPr>
              <w:widowControl/>
              <w:jc w:val="center"/>
              <w:textAlignment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成都逢瑜精品商务</w:t>
            </w:r>
          </w:p>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酒店</w:t>
            </w:r>
          </w:p>
        </w:tc>
        <w:tc>
          <w:tcPr>
            <w:tcW w:w="1455" w:type="dxa"/>
            <w:shd w:val="clear" w:color="auto" w:fill="auto"/>
            <w:noWrap/>
            <w:vAlign w:val="center"/>
          </w:tcPr>
          <w:p>
            <w:pPr>
              <w:widowControl/>
              <w:jc w:val="center"/>
              <w:textAlignment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标准间</w:t>
            </w:r>
          </w:p>
        </w:tc>
        <w:tc>
          <w:tcPr>
            <w:tcW w:w="1635" w:type="dxa"/>
            <w:shd w:val="clear" w:color="auto" w:fill="auto"/>
            <w:noWrap/>
            <w:vAlign w:val="center"/>
          </w:tcPr>
          <w:p>
            <w:pPr>
              <w:widowControl/>
              <w:jc w:val="center"/>
              <w:textAlignment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150元/天</w:t>
            </w:r>
          </w:p>
        </w:tc>
        <w:tc>
          <w:tcPr>
            <w:tcW w:w="1845" w:type="dxa"/>
            <w:vMerge w:val="restart"/>
            <w:shd w:val="clear" w:color="auto" w:fill="auto"/>
            <w:noWrap/>
            <w:vAlign w:val="center"/>
          </w:tcPr>
          <w:p>
            <w:pPr>
              <w:widowControl/>
              <w:jc w:val="center"/>
              <w:textAlignment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1.9公里</w:t>
            </w:r>
          </w:p>
        </w:tc>
        <w:tc>
          <w:tcPr>
            <w:tcW w:w="1830" w:type="dxa"/>
            <w:vMerge w:val="restart"/>
            <w:shd w:val="clear" w:color="auto" w:fill="auto"/>
            <w:noWrap/>
            <w:vAlign w:val="center"/>
          </w:tcPr>
          <w:p>
            <w:pPr>
              <w:widowControl/>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不含早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73" w:type="dxa"/>
            <w:vMerge w:val="continue"/>
            <w:shd w:val="clear" w:color="auto" w:fill="auto"/>
            <w:noWrap/>
            <w:vAlign w:val="center"/>
          </w:tcPr>
          <w:p>
            <w:pPr>
              <w:jc w:val="center"/>
              <w:rPr>
                <w:rFonts w:cs="宋体" w:asciiTheme="minorEastAsia" w:hAnsiTheme="minorEastAsia" w:eastAsiaTheme="minorEastAsia"/>
                <w:sz w:val="24"/>
                <w:szCs w:val="24"/>
              </w:rPr>
            </w:pPr>
          </w:p>
        </w:tc>
        <w:tc>
          <w:tcPr>
            <w:tcW w:w="1455" w:type="dxa"/>
            <w:shd w:val="clear" w:color="auto" w:fill="auto"/>
            <w:noWrap/>
            <w:vAlign w:val="center"/>
          </w:tcPr>
          <w:p>
            <w:pPr>
              <w:widowControl/>
              <w:jc w:val="center"/>
              <w:textAlignment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大床房</w:t>
            </w:r>
          </w:p>
        </w:tc>
        <w:tc>
          <w:tcPr>
            <w:tcW w:w="1635" w:type="dxa"/>
            <w:shd w:val="clear" w:color="auto" w:fill="auto"/>
            <w:noWrap/>
            <w:vAlign w:val="center"/>
          </w:tcPr>
          <w:p>
            <w:pPr>
              <w:widowControl/>
              <w:jc w:val="center"/>
              <w:textAlignment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150元/天</w:t>
            </w:r>
          </w:p>
        </w:tc>
        <w:tc>
          <w:tcPr>
            <w:tcW w:w="1845" w:type="dxa"/>
            <w:vMerge w:val="continue"/>
            <w:shd w:val="clear" w:color="auto" w:fill="auto"/>
            <w:noWrap/>
            <w:vAlign w:val="center"/>
          </w:tcPr>
          <w:p>
            <w:pPr>
              <w:widowControl/>
              <w:jc w:val="center"/>
              <w:textAlignment w:val="center"/>
              <w:rPr>
                <w:rFonts w:cs="宋体" w:asciiTheme="minorEastAsia" w:hAnsiTheme="minorEastAsia" w:eastAsiaTheme="minorEastAsia"/>
                <w:kern w:val="0"/>
                <w:sz w:val="24"/>
                <w:szCs w:val="24"/>
              </w:rPr>
            </w:pPr>
          </w:p>
        </w:tc>
        <w:tc>
          <w:tcPr>
            <w:tcW w:w="1830" w:type="dxa"/>
            <w:vMerge w:val="continue"/>
            <w:shd w:val="clear" w:color="auto" w:fill="auto"/>
            <w:noWrap/>
            <w:vAlign w:val="center"/>
          </w:tcPr>
          <w:p>
            <w:pPr>
              <w:jc w:val="center"/>
              <w:rPr>
                <w:rFonts w:cs="宋体" w:asciiTheme="minorEastAsia" w:hAnsiTheme="minorEastAsia" w:eastAsiaTheme="minorEastAsia"/>
                <w:sz w:val="24"/>
                <w:szCs w:val="24"/>
              </w:rPr>
            </w:pPr>
          </w:p>
        </w:tc>
      </w:tr>
    </w:tbl>
    <w:p>
      <w:pPr>
        <w:adjustRightInd w:val="0"/>
        <w:spacing w:line="360" w:lineRule="auto"/>
        <w:rPr>
          <w:rFonts w:asciiTheme="minorEastAsia" w:hAnsiTheme="minorEastAsia" w:eastAsiaTheme="minorEastAsia" w:cstheme="minorEastAsia"/>
          <w:sz w:val="24"/>
          <w:szCs w:val="24"/>
        </w:rPr>
      </w:pPr>
    </w:p>
    <w:p>
      <w:pPr>
        <w:adjustRightInd w:val="0"/>
        <w:rPr>
          <w:rFonts w:asciiTheme="minorEastAsia" w:hAnsiTheme="minorEastAsia" w:eastAsiaTheme="minorEastAsia"/>
          <w:sz w:val="24"/>
          <w:szCs w:val="24"/>
        </w:rPr>
      </w:pPr>
    </w:p>
    <w:p>
      <w:pPr>
        <w:rPr>
          <w:rFonts w:asciiTheme="minorEastAsia" w:hAnsiTheme="minorEastAsia" w:eastAsia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491E3"/>
    <w:multiLevelType w:val="singleLevel"/>
    <w:tmpl w:val="294491E3"/>
    <w:lvl w:ilvl="0" w:tentative="0">
      <w:start w:val="1"/>
      <w:numFmt w:val="chineseCounting"/>
      <w:suff w:val="nothing"/>
      <w:lvlText w:val="%1、"/>
      <w:lvlJc w:val="left"/>
      <w:pPr>
        <w:ind w:left="-56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10743C"/>
    <w:rsid w:val="00082326"/>
    <w:rsid w:val="000A067C"/>
    <w:rsid w:val="000B7E7B"/>
    <w:rsid w:val="0010743C"/>
    <w:rsid w:val="00121B9D"/>
    <w:rsid w:val="001311A0"/>
    <w:rsid w:val="00137209"/>
    <w:rsid w:val="00161CFC"/>
    <w:rsid w:val="00181436"/>
    <w:rsid w:val="001971B3"/>
    <w:rsid w:val="001A3F69"/>
    <w:rsid w:val="001C7214"/>
    <w:rsid w:val="00294271"/>
    <w:rsid w:val="002A3E13"/>
    <w:rsid w:val="002C364C"/>
    <w:rsid w:val="003539FF"/>
    <w:rsid w:val="0037155E"/>
    <w:rsid w:val="00435FF5"/>
    <w:rsid w:val="004D2680"/>
    <w:rsid w:val="00507E78"/>
    <w:rsid w:val="005259AB"/>
    <w:rsid w:val="00545806"/>
    <w:rsid w:val="00560A97"/>
    <w:rsid w:val="00564177"/>
    <w:rsid w:val="005D7DA3"/>
    <w:rsid w:val="005F1D56"/>
    <w:rsid w:val="0062501B"/>
    <w:rsid w:val="006F6491"/>
    <w:rsid w:val="007033D0"/>
    <w:rsid w:val="007F061E"/>
    <w:rsid w:val="008267E9"/>
    <w:rsid w:val="00864F9D"/>
    <w:rsid w:val="00985F43"/>
    <w:rsid w:val="009B0201"/>
    <w:rsid w:val="009B4A55"/>
    <w:rsid w:val="00A578E5"/>
    <w:rsid w:val="00B05B34"/>
    <w:rsid w:val="00B36AE6"/>
    <w:rsid w:val="00B445AC"/>
    <w:rsid w:val="00B57582"/>
    <w:rsid w:val="00B77BBB"/>
    <w:rsid w:val="00B807A5"/>
    <w:rsid w:val="00BA735D"/>
    <w:rsid w:val="00CE32CD"/>
    <w:rsid w:val="00CF74AD"/>
    <w:rsid w:val="00D44A09"/>
    <w:rsid w:val="00D50618"/>
    <w:rsid w:val="00DA1E5E"/>
    <w:rsid w:val="00E27828"/>
    <w:rsid w:val="00E53E56"/>
    <w:rsid w:val="00EB23E2"/>
    <w:rsid w:val="00EF7554"/>
    <w:rsid w:val="00F20F28"/>
    <w:rsid w:val="00F34133"/>
    <w:rsid w:val="00F65854"/>
    <w:rsid w:val="00F92B2C"/>
    <w:rsid w:val="00FA75AB"/>
    <w:rsid w:val="1D29588D"/>
    <w:rsid w:val="20047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rFonts w:ascii="Times New Roman" w:hAnsi="Times New Roman" w:eastAsia="微软雅黑"/>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paragraph" w:styleId="10">
    <w:name w:val="List Paragraph"/>
    <w:basedOn w:val="1"/>
    <w:qFormat/>
    <w:uiPriority w:val="34"/>
    <w:pPr>
      <w:ind w:firstLine="420" w:firstLineChars="200"/>
    </w:pPr>
    <w:rPr>
      <w:rFonts w:asciiTheme="minorHAnsi" w:hAnsiTheme="minorHAnsi" w:eastAsiaTheme="minorEastAsia" w:cstheme="minorBidi"/>
    </w:rPr>
  </w:style>
  <w:style w:type="character" w:customStyle="1" w:styleId="11">
    <w:name w:val="日期 Char"/>
    <w:basedOn w:val="7"/>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1812</Words>
  <Characters>2183</Characters>
  <Lines>18</Lines>
  <Paragraphs>5</Paragraphs>
  <TotalTime>91</TotalTime>
  <ScaleCrop>false</ScaleCrop>
  <LinksUpToDate>false</LinksUpToDate>
  <CharactersWithSpaces>2351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2021-12-16T06:32:00Z</dcterms:created>
  <dc:creator>User</dc:creator>
  <cp:lastModifiedBy>lenovo</cp:lastModifiedBy>
  <dcterms:modified xsi:type="dcterms:W3CDTF">2021-12-20T05:43:21Z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