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7D" w:rsidRPr="00991290" w:rsidRDefault="00E76C7D" w:rsidP="00E76C7D">
      <w:pPr>
        <w:jc w:val="center"/>
        <w:rPr>
          <w:rFonts w:ascii="宋体" w:hAnsi="宋体"/>
          <w:b/>
          <w:color w:val="FF0000"/>
          <w:sz w:val="11"/>
          <w:szCs w:val="11"/>
        </w:rPr>
      </w:pPr>
    </w:p>
    <w:p w:rsidR="00E76C7D" w:rsidRPr="00991290" w:rsidRDefault="00E76C7D" w:rsidP="00E76C7D">
      <w:pPr>
        <w:jc w:val="center"/>
        <w:rPr>
          <w:rFonts w:ascii="宋体" w:hAnsi="宋体"/>
          <w:b/>
          <w:color w:val="FF0000"/>
          <w:sz w:val="11"/>
          <w:szCs w:val="11"/>
        </w:rPr>
      </w:pPr>
    </w:p>
    <w:p w:rsidR="00B62ABD" w:rsidRDefault="00B62ABD" w:rsidP="00B62ABD">
      <w:pPr>
        <w:jc w:val="center"/>
        <w:rPr>
          <w:rFonts w:ascii="黑体" w:eastAsia="黑体"/>
          <w:color w:val="FF0000"/>
          <w:sz w:val="24"/>
        </w:rPr>
      </w:pPr>
    </w:p>
    <w:p w:rsidR="00B62ABD" w:rsidRPr="00991290" w:rsidRDefault="00B62ABD" w:rsidP="00B62ABD">
      <w:pPr>
        <w:jc w:val="center"/>
        <w:rPr>
          <w:rFonts w:ascii="宋体" w:hAnsi="宋体"/>
          <w:b/>
          <w:color w:val="FF0000"/>
          <w:sz w:val="36"/>
          <w:szCs w:val="36"/>
        </w:rPr>
      </w:pPr>
      <w:r w:rsidRPr="00991290">
        <w:rPr>
          <w:rFonts w:ascii="宋体" w:hAnsi="宋体" w:hint="eastAsia"/>
          <w:b/>
          <w:color w:val="FF0000"/>
          <w:sz w:val="80"/>
          <w:szCs w:val="80"/>
        </w:rPr>
        <w:t>四川省计算机学会文件</w:t>
      </w:r>
    </w:p>
    <w:p w:rsidR="00B62ABD" w:rsidRDefault="00B62ABD" w:rsidP="00B62ABD">
      <w:pPr>
        <w:rPr>
          <w:rFonts w:ascii="黑体" w:eastAsia="黑体"/>
          <w:color w:val="FF0000"/>
          <w:sz w:val="24"/>
        </w:rPr>
      </w:pPr>
    </w:p>
    <w:p w:rsidR="00B62ABD" w:rsidRDefault="00B62ABD" w:rsidP="00B62ABD">
      <w:pPr>
        <w:jc w:val="center"/>
        <w:rPr>
          <w:rFonts w:ascii="黑体" w:eastAsia="黑体"/>
          <w:color w:val="FF0000"/>
          <w:sz w:val="18"/>
          <w:szCs w:val="18"/>
        </w:rPr>
      </w:pPr>
    </w:p>
    <w:p w:rsidR="00B62ABD" w:rsidRDefault="00B62ABD" w:rsidP="00B62ABD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川计学 [2020] 第4号</w:t>
      </w:r>
    </w:p>
    <w:p w:rsidR="00B62ABD" w:rsidRDefault="00B62ABD" w:rsidP="00B62ABD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 w:rsidR="00B62ABD" w:rsidRDefault="00B62ABD" w:rsidP="00B62ABD">
      <w:pPr>
        <w:jc w:val="center"/>
        <w:rPr>
          <w:rFonts w:ascii="宋体" w:hAnsi="宋体"/>
          <w:b/>
          <w:sz w:val="36"/>
          <w:szCs w:val="36"/>
        </w:rPr>
      </w:pPr>
    </w:p>
    <w:p w:rsidR="006C7491" w:rsidRPr="00991290" w:rsidRDefault="006C7491" w:rsidP="006C7491">
      <w:pPr>
        <w:jc w:val="center"/>
        <w:rPr>
          <w:rFonts w:ascii="宋体" w:hAnsi="宋体"/>
          <w:sz w:val="32"/>
          <w:szCs w:val="32"/>
        </w:rPr>
      </w:pPr>
      <w:r w:rsidRPr="00991290">
        <w:rPr>
          <w:rFonts w:ascii="宋体" w:hAnsi="宋体" w:hint="eastAsia"/>
          <w:b/>
          <w:sz w:val="32"/>
          <w:szCs w:val="32"/>
        </w:rPr>
        <w:t>关于报送分会专委会2020年工作计划的通知</w:t>
      </w:r>
    </w:p>
    <w:p w:rsidR="006C7491" w:rsidRDefault="006C7491" w:rsidP="006C74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E2E38" w:rsidRPr="000E2E38" w:rsidRDefault="000E2E38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各分会</w:t>
      </w:r>
      <w:r w:rsidR="00454ED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、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专委会：</w:t>
      </w:r>
    </w:p>
    <w:p w:rsidR="000E2E38" w:rsidRPr="000E2E38" w:rsidRDefault="000E2E38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突如其来的全球性新型冠</w:t>
      </w:r>
      <w:r w:rsidR="009D0C8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状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传染病毒的来袭，打乱了人们正常的工作生活秩序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，为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执行国家疫情防控工作部署，减少疾病传染。学会研究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决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定</w:t>
      </w:r>
      <w:r w:rsidR="00423041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，</w:t>
      </w:r>
      <w:r w:rsidR="00C83D36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原定于一季度召开的</w:t>
      </w:r>
      <w:r w:rsidR="00C83D36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“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2020年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学会分支机构工作会议”</w:t>
      </w:r>
      <w:r w:rsidR="00C83D36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暂缓举行</w:t>
      </w:r>
      <w:r w:rsidR="00AC3E6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，</w:t>
      </w:r>
      <w:r w:rsidR="00423041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学会各分支机构</w:t>
      </w:r>
      <w:r w:rsidR="00454ED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2020年的</w:t>
      </w:r>
      <w:r w:rsidR="00423041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工作，</w:t>
      </w:r>
      <w:r w:rsidR="00AC3E6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由各分会</w:t>
      </w:r>
      <w:r w:rsidR="0042310F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、</w:t>
      </w:r>
      <w:r w:rsidR="00AC3E6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专委会自行对年度工作进行计划安排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。</w:t>
      </w:r>
    </w:p>
    <w:p w:rsidR="000E2E38" w:rsidRPr="000E2E38" w:rsidRDefault="00454ED5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疫情防控战役在党中央的坚强领导和全国人民的共同努力下，终将取得最后胜利。</w:t>
      </w:r>
      <w:r w:rsid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为尽量减小疫情防控对工作的影响，做到工作和疫情防控两不误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。学会</w:t>
      </w:r>
      <w:r w:rsidR="00AC3E6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所属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组织要坚决遵守和执行各级党委和政府</w:t>
      </w:r>
      <w:r w:rsidR="00102CE2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疫情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防控</w:t>
      </w:r>
      <w:r w:rsidR="00102CE2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的措施和部署，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各分会、专委会</w:t>
      </w:r>
      <w:r w:rsidR="00102CE2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的各项活动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须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要</w:t>
      </w:r>
      <w:r w:rsidR="00C61827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在有效防控疫情传播的前提下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开展</w:t>
      </w:r>
      <w:r w:rsidR="00C61827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，将影响降至最低限度</w:t>
      </w:r>
      <w:r w:rsidR="00102CE2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。要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针对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当前形势的发展和学术技术发展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特点制订和调整本年度工作计划。已列入计划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且必须开展的工作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，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要在采取安全措施，确保不导致疫情传染的前提下进行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未列入计划或不属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近期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开展的工作</w:t>
      </w:r>
      <w:r w:rsidR="00C6182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，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可适当后移、延期安排。为此，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lastRenderedPageBreak/>
        <w:t>请各分会、专委会认真研究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、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策划和部署今年的工作，作好周密的计划安排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，引导和推动本领域的学术技术发展</w:t>
      </w:r>
      <w:r w:rsidR="00102CE2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。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并将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本分会</w:t>
      </w:r>
      <w:r w:rsidR="00C83D36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、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专委会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全年的活动计划于4月</w:t>
      </w:r>
      <w:r w:rsidR="00447FE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10</w:t>
      </w:r>
      <w:r w:rsidR="000E2E38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日前报至学会秘书处。</w:t>
      </w:r>
    </w:p>
    <w:p w:rsidR="00C61827" w:rsidRPr="00437CC5" w:rsidRDefault="00C61827" w:rsidP="00423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学会秘书处</w:t>
      </w:r>
      <w:r w:rsidRPr="00437CC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联系人：刘诗影</w:t>
      </w:r>
    </w:p>
    <w:p w:rsidR="00C61827" w:rsidRPr="00437CC5" w:rsidRDefault="00C61827" w:rsidP="00C618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437CC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联系电话：028-85228966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    13094455475</w:t>
      </w:r>
    </w:p>
    <w:p w:rsidR="00C61827" w:rsidRDefault="00C61827" w:rsidP="00C618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437CC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邮箱：</w:t>
      </w:r>
      <w:hyperlink r:id="rId8" w:history="1">
        <w:r w:rsidRPr="00507178">
          <w:rPr>
            <w:rStyle w:val="a6"/>
            <w:rFonts w:ascii="新宋体" w:eastAsia="新宋体" w:hAnsi="新宋体" w:cs="新宋体" w:hint="eastAsia"/>
            <w:kern w:val="0"/>
            <w:sz w:val="28"/>
            <w:szCs w:val="28"/>
          </w:rPr>
          <w:t>scy@casit.com.cn</w:t>
        </w:r>
      </w:hyperlink>
    </w:p>
    <w:p w:rsidR="00102CE2" w:rsidRDefault="00102CE2" w:rsidP="00102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6C7491" w:rsidRDefault="000E2E38" w:rsidP="00C83D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附</w:t>
      </w:r>
      <w:r w:rsidR="009C16C3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表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：《</w:t>
      </w:r>
      <w:r w:rsidR="00102CE2" w:rsidRPr="00102CE2">
        <w:rPr>
          <w:rFonts w:hint="eastAsia"/>
          <w:sz w:val="30"/>
          <w:szCs w:val="30"/>
        </w:rPr>
        <w:t>四川省计算机学会</w:t>
      </w:r>
      <w:r w:rsidR="00A45DE7" w:rsidRPr="00A45DE7">
        <w:rPr>
          <w:rFonts w:hint="eastAsia"/>
          <w:sz w:val="30"/>
          <w:szCs w:val="30"/>
        </w:rPr>
        <w:t>××</w:t>
      </w:r>
      <w:r w:rsidR="00102CE2" w:rsidRPr="00102CE2">
        <w:rPr>
          <w:rFonts w:hint="eastAsia"/>
          <w:sz w:val="30"/>
          <w:szCs w:val="30"/>
        </w:rPr>
        <w:t>分会专委会</w:t>
      </w:r>
      <w:r w:rsidR="00102CE2" w:rsidRPr="00102CE2">
        <w:rPr>
          <w:sz w:val="30"/>
          <w:szCs w:val="30"/>
        </w:rPr>
        <w:t>20</w:t>
      </w:r>
      <w:r w:rsidR="00102CE2" w:rsidRPr="00102CE2">
        <w:rPr>
          <w:rFonts w:hint="eastAsia"/>
          <w:sz w:val="30"/>
          <w:szCs w:val="30"/>
        </w:rPr>
        <w:t>20</w:t>
      </w:r>
      <w:r w:rsidR="00102CE2" w:rsidRPr="00102CE2">
        <w:rPr>
          <w:rFonts w:hint="eastAsia"/>
          <w:sz w:val="30"/>
          <w:szCs w:val="30"/>
        </w:rPr>
        <w:t>年工作计划表</w:t>
      </w:r>
      <w:r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》                                                                           </w:t>
      </w:r>
    </w:p>
    <w:p w:rsidR="00102CE2" w:rsidRDefault="00102CE2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102CE2" w:rsidRDefault="00102CE2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C83D36" w:rsidRPr="00C83D36" w:rsidRDefault="00C83D36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102CE2" w:rsidRDefault="00102CE2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102CE2" w:rsidRDefault="00102CE2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423041" w:rsidRDefault="00423041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423041" w:rsidRDefault="00423041" w:rsidP="000E2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6C7491" w:rsidRPr="00437CC5" w:rsidRDefault="006C7491" w:rsidP="00CF02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6C7491" w:rsidRPr="00437CC5" w:rsidRDefault="006C7491" w:rsidP="006C74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0" w:firstLine="560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437CC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四川省计算机学会</w:t>
      </w:r>
    </w:p>
    <w:p w:rsidR="00102CE2" w:rsidRDefault="006C7491" w:rsidP="006C74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437CC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                                       </w:t>
      </w:r>
      <w:r w:rsidR="00C61827" w:rsidRPr="000E2E3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2020年3月16日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</w:t>
      </w:r>
    </w:p>
    <w:p w:rsidR="006C7491" w:rsidRDefault="006C7491" w:rsidP="006C74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                               </w:t>
      </w:r>
    </w:p>
    <w:p w:rsidR="006C7491" w:rsidRDefault="006C7491" w:rsidP="006C7491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主题词</w:t>
      </w:r>
      <w:r>
        <w:rPr>
          <w:rFonts w:ascii="宋体" w:hAnsi="宋体" w:hint="eastAsia"/>
          <w:bCs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</w:rPr>
        <w:t>分会  专委会  工作计划  通知</w:t>
      </w:r>
    </w:p>
    <w:p w:rsidR="006C7491" w:rsidRDefault="006C7491" w:rsidP="006C7491">
      <w:pPr>
        <w:pBdr>
          <w:top w:val="single" w:sz="6" w:space="1" w:color="auto"/>
          <w:bottom w:val="single" w:sz="6" w:space="1" w:color="auto"/>
        </w:pBdr>
        <w:ind w:firstLineChars="100" w:firstLine="320"/>
      </w:pPr>
      <w:r>
        <w:rPr>
          <w:rFonts w:ascii="仿宋_GB2312" w:eastAsia="仿宋_GB2312" w:hint="eastAsia"/>
          <w:kern w:val="16"/>
          <w:sz w:val="32"/>
          <w:szCs w:val="32"/>
        </w:rPr>
        <w:t>四川省计算机学会秘书处</w:t>
      </w:r>
      <w:r>
        <w:rPr>
          <w:rFonts w:ascii="仿宋_GB2312" w:eastAsia="仿宋_GB2312" w:hAnsi="宋体" w:hint="eastAsia"/>
          <w:sz w:val="32"/>
          <w:szCs w:val="32"/>
        </w:rPr>
        <w:t xml:space="preserve">       20</w:t>
      </w:r>
      <w:r w:rsidR="00102CE2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102CE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102CE2">
        <w:rPr>
          <w:rFonts w:ascii="仿宋_GB2312" w:eastAsia="仿宋_GB2312" w:hAnsi="宋体" w:hint="eastAsia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日印发</w:t>
      </w:r>
    </w:p>
    <w:p w:rsidR="00281CD7" w:rsidRPr="00991290" w:rsidRDefault="00281CD7" w:rsidP="006C7491">
      <w:pPr>
        <w:spacing w:line="440" w:lineRule="exact"/>
        <w:rPr>
          <w:rFonts w:ascii="宋体" w:hAnsi="宋体" w:cs="宋体"/>
        </w:rPr>
      </w:pPr>
    </w:p>
    <w:p w:rsidR="00102CE2" w:rsidRPr="0056522A" w:rsidRDefault="00102CE2" w:rsidP="00102CE2">
      <w:pPr>
        <w:rPr>
          <w:b/>
          <w:sz w:val="28"/>
          <w:szCs w:val="28"/>
        </w:rPr>
      </w:pPr>
      <w:r w:rsidRPr="0056522A">
        <w:rPr>
          <w:rFonts w:hint="eastAsia"/>
          <w:b/>
          <w:sz w:val="28"/>
          <w:szCs w:val="28"/>
        </w:rPr>
        <w:lastRenderedPageBreak/>
        <w:t>附表：</w:t>
      </w:r>
    </w:p>
    <w:p w:rsidR="00102CE2" w:rsidRPr="006D7A1B" w:rsidRDefault="00102CE2" w:rsidP="00102CE2">
      <w:pPr>
        <w:jc w:val="center"/>
        <w:rPr>
          <w:b/>
          <w:sz w:val="30"/>
          <w:szCs w:val="30"/>
        </w:rPr>
      </w:pPr>
      <w:r w:rsidRPr="00F334B8">
        <w:rPr>
          <w:rFonts w:hint="eastAsia"/>
          <w:b/>
          <w:sz w:val="30"/>
          <w:szCs w:val="30"/>
        </w:rPr>
        <w:t>四川省计算机学会</w:t>
      </w:r>
      <w:r w:rsidR="00A45DE7">
        <w:rPr>
          <w:rFonts w:ascii="宋体" w:hAnsi="宋体" w:hint="eastAsia"/>
          <w:b/>
          <w:sz w:val="30"/>
          <w:szCs w:val="30"/>
        </w:rPr>
        <w:t>××</w:t>
      </w:r>
      <w:r>
        <w:rPr>
          <w:rFonts w:hint="eastAsia"/>
          <w:b/>
          <w:sz w:val="30"/>
          <w:szCs w:val="30"/>
        </w:rPr>
        <w:t>分会专委会</w:t>
      </w:r>
      <w:r w:rsidRPr="00F334B8"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 w:rsidRPr="00F334B8"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工作</w:t>
      </w:r>
      <w:r w:rsidRPr="00F334B8">
        <w:rPr>
          <w:rFonts w:hint="eastAsia"/>
          <w:b/>
          <w:sz w:val="30"/>
          <w:szCs w:val="30"/>
        </w:rPr>
        <w:t>计划</w:t>
      </w:r>
      <w:r>
        <w:rPr>
          <w:rFonts w:hint="eastAsia"/>
          <w:b/>
          <w:sz w:val="30"/>
          <w:szCs w:val="30"/>
        </w:rPr>
        <w:t>表</w:t>
      </w:r>
    </w:p>
    <w:p w:rsidR="00102CE2" w:rsidRDefault="00102CE2" w:rsidP="00102CE2"/>
    <w:p w:rsidR="00102CE2" w:rsidRDefault="00102CE2" w:rsidP="00102CE2"/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2694"/>
        <w:gridCol w:w="3118"/>
        <w:gridCol w:w="1843"/>
        <w:gridCol w:w="850"/>
        <w:gridCol w:w="1701"/>
        <w:gridCol w:w="1134"/>
        <w:gridCol w:w="1560"/>
      </w:tblGrid>
      <w:tr w:rsidR="00102CE2" w:rsidTr="00991290">
        <w:trPr>
          <w:cantSplit/>
          <w:trHeight w:val="759"/>
        </w:trPr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序号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活动类型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活动名称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内容要求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活动地点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预计人数规模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承办单位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预定日期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b/>
                <w:kern w:val="0"/>
                <w:sz w:val="22"/>
                <w:lang w:eastAsia="en-US"/>
              </w:rPr>
            </w:pPr>
            <w:r w:rsidRPr="00991290">
              <w:rPr>
                <w:rFonts w:hint="eastAsia"/>
                <w:b/>
                <w:kern w:val="0"/>
                <w:sz w:val="22"/>
                <w:lang w:eastAsia="en-US"/>
              </w:rPr>
              <w:t>组织工作人员</w:t>
            </w:r>
          </w:p>
        </w:tc>
      </w:tr>
      <w:tr w:rsidR="00102CE2" w:rsidTr="00991290">
        <w:trPr>
          <w:cantSplit/>
          <w:trHeight w:val="759"/>
        </w:trPr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 w:rsidR="00102CE2" w:rsidTr="00991290">
        <w:trPr>
          <w:cantSplit/>
          <w:trHeight w:val="759"/>
        </w:trPr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 w:rsidR="00102CE2" w:rsidTr="00991290">
        <w:trPr>
          <w:cantSplit/>
          <w:trHeight w:val="759"/>
        </w:trPr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 w:rsidR="00102CE2" w:rsidTr="00991290">
        <w:trPr>
          <w:cantSplit/>
          <w:trHeight w:val="759"/>
        </w:trPr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 w:rsidR="00102CE2" w:rsidTr="00991290">
        <w:trPr>
          <w:cantSplit/>
          <w:trHeight w:val="759"/>
        </w:trPr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 w:rsidR="00102CE2" w:rsidTr="00991290">
        <w:trPr>
          <w:cantSplit/>
          <w:trHeight w:val="1134"/>
        </w:trPr>
        <w:tc>
          <w:tcPr>
            <w:tcW w:w="14260" w:type="dxa"/>
            <w:gridSpan w:val="9"/>
            <w:shd w:val="clear" w:color="auto" w:fill="auto"/>
            <w:vAlign w:val="center"/>
          </w:tcPr>
          <w:p w:rsidR="00102CE2" w:rsidRPr="00991290" w:rsidRDefault="00102CE2" w:rsidP="00991290">
            <w:pPr>
              <w:autoSpaceDE w:val="0"/>
              <w:autoSpaceDN w:val="0"/>
              <w:ind w:firstLineChars="100" w:firstLine="220"/>
              <w:rPr>
                <w:kern w:val="0"/>
                <w:sz w:val="22"/>
              </w:rPr>
            </w:pPr>
            <w:r w:rsidRPr="00991290">
              <w:rPr>
                <w:rFonts w:hint="eastAsia"/>
                <w:kern w:val="0"/>
                <w:sz w:val="22"/>
              </w:rPr>
              <w:t>1.</w:t>
            </w:r>
            <w:r w:rsidRPr="00991290">
              <w:rPr>
                <w:kern w:val="0"/>
                <w:sz w:val="22"/>
              </w:rPr>
              <w:t>此表为</w:t>
            </w:r>
            <w:r w:rsidRPr="00991290">
              <w:rPr>
                <w:rFonts w:hint="eastAsia"/>
                <w:kern w:val="0"/>
                <w:sz w:val="22"/>
              </w:rPr>
              <w:t>年度</w:t>
            </w:r>
            <w:r w:rsidRPr="00991290">
              <w:rPr>
                <w:kern w:val="0"/>
                <w:sz w:val="22"/>
              </w:rPr>
              <w:t>计划构想，</w:t>
            </w:r>
            <w:r w:rsidRPr="00991290">
              <w:rPr>
                <w:rFonts w:hint="eastAsia"/>
                <w:kern w:val="0"/>
                <w:sz w:val="22"/>
              </w:rPr>
              <w:t>如有</w:t>
            </w:r>
            <w:r w:rsidRPr="00991290">
              <w:rPr>
                <w:kern w:val="0"/>
                <w:sz w:val="22"/>
              </w:rPr>
              <w:t>实际变化</w:t>
            </w:r>
            <w:r w:rsidRPr="00991290">
              <w:rPr>
                <w:rFonts w:hint="eastAsia"/>
                <w:kern w:val="0"/>
                <w:sz w:val="22"/>
              </w:rPr>
              <w:t>可随时</w:t>
            </w:r>
            <w:r w:rsidRPr="00991290">
              <w:rPr>
                <w:kern w:val="0"/>
                <w:sz w:val="22"/>
              </w:rPr>
              <w:t>调整</w:t>
            </w:r>
            <w:r w:rsidRPr="00991290">
              <w:rPr>
                <w:rFonts w:hint="eastAsia"/>
                <w:kern w:val="0"/>
                <w:sz w:val="22"/>
              </w:rPr>
              <w:t>。</w:t>
            </w:r>
          </w:p>
          <w:p w:rsidR="00102CE2" w:rsidRPr="00991290" w:rsidRDefault="00102CE2" w:rsidP="00991290">
            <w:pPr>
              <w:autoSpaceDE w:val="0"/>
              <w:autoSpaceDN w:val="0"/>
              <w:ind w:firstLineChars="100" w:firstLine="220"/>
              <w:rPr>
                <w:kern w:val="0"/>
                <w:sz w:val="22"/>
              </w:rPr>
            </w:pPr>
            <w:r w:rsidRPr="00991290">
              <w:rPr>
                <w:kern w:val="0"/>
                <w:sz w:val="22"/>
              </w:rPr>
              <w:t>2.</w:t>
            </w:r>
            <w:r w:rsidRPr="00991290">
              <w:rPr>
                <w:rFonts w:hint="eastAsia"/>
                <w:kern w:val="0"/>
                <w:sz w:val="22"/>
              </w:rPr>
              <w:t>活动类型是指学术活动、工作会议、对接交流、成果展示及其它。</w:t>
            </w:r>
          </w:p>
          <w:p w:rsidR="00102CE2" w:rsidRPr="00991290" w:rsidRDefault="00102CE2" w:rsidP="00991290">
            <w:pPr>
              <w:autoSpaceDE w:val="0"/>
              <w:autoSpaceDN w:val="0"/>
              <w:ind w:firstLineChars="100" w:firstLine="220"/>
              <w:rPr>
                <w:kern w:val="0"/>
                <w:sz w:val="22"/>
              </w:rPr>
            </w:pPr>
            <w:r w:rsidRPr="00991290">
              <w:rPr>
                <w:rFonts w:hint="eastAsia"/>
                <w:kern w:val="0"/>
                <w:sz w:val="22"/>
              </w:rPr>
              <w:t>3.</w:t>
            </w:r>
            <w:r w:rsidRPr="00991290">
              <w:rPr>
                <w:rFonts w:hint="eastAsia"/>
                <w:kern w:val="0"/>
                <w:sz w:val="22"/>
              </w:rPr>
              <w:t>请各分、专委会填好此表报送学会秘书处。</w:t>
            </w:r>
          </w:p>
        </w:tc>
      </w:tr>
    </w:tbl>
    <w:p w:rsidR="00102CE2" w:rsidRPr="00991290" w:rsidRDefault="00102CE2" w:rsidP="006C7491">
      <w:pPr>
        <w:spacing w:line="440" w:lineRule="exact"/>
        <w:rPr>
          <w:rFonts w:ascii="宋体" w:hAnsi="宋体" w:cs="宋体"/>
        </w:rPr>
      </w:pPr>
    </w:p>
    <w:sectPr w:rsidR="00102CE2" w:rsidRPr="00991290" w:rsidSect="00FB255A">
      <w:pgSz w:w="11906" w:h="16838"/>
      <w:pgMar w:top="1440" w:right="151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96" w:rsidRDefault="00736396" w:rsidP="003321CA">
      <w:r>
        <w:separator/>
      </w:r>
    </w:p>
  </w:endnote>
  <w:endnote w:type="continuationSeparator" w:id="0">
    <w:p w:rsidR="00736396" w:rsidRDefault="00736396" w:rsidP="0033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96" w:rsidRDefault="00736396" w:rsidP="003321CA">
      <w:r>
        <w:separator/>
      </w:r>
    </w:p>
  </w:footnote>
  <w:footnote w:type="continuationSeparator" w:id="0">
    <w:p w:rsidR="00736396" w:rsidRDefault="00736396" w:rsidP="0033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45D3A"/>
    <w:multiLevelType w:val="hybridMultilevel"/>
    <w:tmpl w:val="1A549106"/>
    <w:lvl w:ilvl="0" w:tplc="E75446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5C715E"/>
    <w:multiLevelType w:val="hybridMultilevel"/>
    <w:tmpl w:val="F5AEA226"/>
    <w:lvl w:ilvl="0" w:tplc="0060E49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DE"/>
    <w:rsid w:val="00000883"/>
    <w:rsid w:val="00045BBF"/>
    <w:rsid w:val="00065AB7"/>
    <w:rsid w:val="000B021D"/>
    <w:rsid w:val="000E2E38"/>
    <w:rsid w:val="0010205F"/>
    <w:rsid w:val="00102CE2"/>
    <w:rsid w:val="00141505"/>
    <w:rsid w:val="001D2A41"/>
    <w:rsid w:val="001E5FE3"/>
    <w:rsid w:val="002035AC"/>
    <w:rsid w:val="00206F37"/>
    <w:rsid w:val="00264B45"/>
    <w:rsid w:val="002737A4"/>
    <w:rsid w:val="00281CD7"/>
    <w:rsid w:val="002A330D"/>
    <w:rsid w:val="002A4CEA"/>
    <w:rsid w:val="002C0648"/>
    <w:rsid w:val="002D42A9"/>
    <w:rsid w:val="00315A74"/>
    <w:rsid w:val="00316848"/>
    <w:rsid w:val="00323F04"/>
    <w:rsid w:val="003321CA"/>
    <w:rsid w:val="00392E02"/>
    <w:rsid w:val="00395EC1"/>
    <w:rsid w:val="003A5CA7"/>
    <w:rsid w:val="003E13CA"/>
    <w:rsid w:val="003F0701"/>
    <w:rsid w:val="00423041"/>
    <w:rsid w:val="0042310F"/>
    <w:rsid w:val="00441E02"/>
    <w:rsid w:val="00447FE0"/>
    <w:rsid w:val="00454ED5"/>
    <w:rsid w:val="004E6BD9"/>
    <w:rsid w:val="00517A7E"/>
    <w:rsid w:val="00521067"/>
    <w:rsid w:val="0052220A"/>
    <w:rsid w:val="00552E34"/>
    <w:rsid w:val="00556CDC"/>
    <w:rsid w:val="00591743"/>
    <w:rsid w:val="00603A19"/>
    <w:rsid w:val="00612307"/>
    <w:rsid w:val="006A3FBD"/>
    <w:rsid w:val="006B12A0"/>
    <w:rsid w:val="006C7491"/>
    <w:rsid w:val="006E6AB7"/>
    <w:rsid w:val="0070409C"/>
    <w:rsid w:val="00704352"/>
    <w:rsid w:val="00734EDE"/>
    <w:rsid w:val="00736396"/>
    <w:rsid w:val="007413ED"/>
    <w:rsid w:val="007523FB"/>
    <w:rsid w:val="007704D5"/>
    <w:rsid w:val="00780174"/>
    <w:rsid w:val="007C5CBF"/>
    <w:rsid w:val="00825442"/>
    <w:rsid w:val="00826F31"/>
    <w:rsid w:val="008407C5"/>
    <w:rsid w:val="00846DCB"/>
    <w:rsid w:val="008857AF"/>
    <w:rsid w:val="008C23C3"/>
    <w:rsid w:val="008F2E20"/>
    <w:rsid w:val="00916A54"/>
    <w:rsid w:val="0094132D"/>
    <w:rsid w:val="00966780"/>
    <w:rsid w:val="00991290"/>
    <w:rsid w:val="00992201"/>
    <w:rsid w:val="009B5284"/>
    <w:rsid w:val="009C16C3"/>
    <w:rsid w:val="009D0C8B"/>
    <w:rsid w:val="009D327C"/>
    <w:rsid w:val="009D6A9B"/>
    <w:rsid w:val="009D6CD1"/>
    <w:rsid w:val="00A44C4B"/>
    <w:rsid w:val="00A45DE7"/>
    <w:rsid w:val="00A56ABA"/>
    <w:rsid w:val="00A720A2"/>
    <w:rsid w:val="00AA10C6"/>
    <w:rsid w:val="00AC3E64"/>
    <w:rsid w:val="00AE1091"/>
    <w:rsid w:val="00B173D2"/>
    <w:rsid w:val="00B62ABD"/>
    <w:rsid w:val="00B71478"/>
    <w:rsid w:val="00C17402"/>
    <w:rsid w:val="00C61827"/>
    <w:rsid w:val="00C83D36"/>
    <w:rsid w:val="00CA5B5B"/>
    <w:rsid w:val="00CC0FA6"/>
    <w:rsid w:val="00CE5980"/>
    <w:rsid w:val="00CF029B"/>
    <w:rsid w:val="00CF2A69"/>
    <w:rsid w:val="00D4016D"/>
    <w:rsid w:val="00D4257B"/>
    <w:rsid w:val="00D60738"/>
    <w:rsid w:val="00D60E5C"/>
    <w:rsid w:val="00DC7447"/>
    <w:rsid w:val="00E11E5A"/>
    <w:rsid w:val="00E22D12"/>
    <w:rsid w:val="00E76C7D"/>
    <w:rsid w:val="00E92E29"/>
    <w:rsid w:val="00F06683"/>
    <w:rsid w:val="00F07EDC"/>
    <w:rsid w:val="00F24584"/>
    <w:rsid w:val="00F42791"/>
    <w:rsid w:val="00FB255A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908760-1530-45AC-B414-54FF64EF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3321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3321CA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17402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character" w:customStyle="1" w:styleId="Char1">
    <w:name w:val="正文文本 Char"/>
    <w:link w:val="a5"/>
    <w:uiPriority w:val="1"/>
    <w:rsid w:val="00C17402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styleId="a6">
    <w:name w:val="Hyperlink"/>
    <w:uiPriority w:val="99"/>
    <w:unhideWhenUsed/>
    <w:rsid w:val="00C17402"/>
    <w:rPr>
      <w:color w:val="0000FF"/>
      <w:u w:val="single"/>
    </w:rPr>
  </w:style>
  <w:style w:type="table" w:styleId="a7">
    <w:name w:val="Table Grid"/>
    <w:basedOn w:val="a1"/>
    <w:uiPriority w:val="39"/>
    <w:rsid w:val="00C17402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846DCB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846DC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y@casit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253;&#36865;&#20998;&#20250;&#19987;&#22996;&#20250;2020&#24180;&#24037;&#20316;&#35745;&#21010;&#30340;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5212-7562-4672-B274-FA8496C8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报送分会专委会2020年工作计划的通知</Template>
  <TotalTime>26</TotalTime>
  <Pages>3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mailto:scy@casit.com.cn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cp:lastPrinted>2020-03-17T02:44:00Z</cp:lastPrinted>
  <dcterms:created xsi:type="dcterms:W3CDTF">2020-03-17T02:42:00Z</dcterms:created>
  <dcterms:modified xsi:type="dcterms:W3CDTF">2020-03-17T03:27:00Z</dcterms:modified>
</cp:coreProperties>
</file>